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68851">
      <w:pPr>
        <w:snapToGrid w:val="0"/>
        <w:rPr>
          <w:rFonts w:hint="eastAsia" w:ascii="宋体" w:hAnsi="宋体" w:eastAsia="宋体" w:cs="宋体"/>
          <w:b/>
          <w:bCs/>
          <w:sz w:val="24"/>
          <w:szCs w:val="28"/>
          <w:highlight w:val="none"/>
        </w:rPr>
      </w:pPr>
    </w:p>
    <w:p w14:paraId="6C279D83">
      <w:pPr>
        <w:snapToGrid w:val="0"/>
        <w:rPr>
          <w:rFonts w:hint="eastAsia" w:ascii="宋体" w:hAnsi="宋体" w:eastAsia="宋体" w:cs="宋体"/>
          <w:b/>
          <w:bCs/>
          <w:sz w:val="24"/>
          <w:szCs w:val="28"/>
          <w:highlight w:val="none"/>
        </w:rPr>
      </w:pPr>
    </w:p>
    <w:p w14:paraId="67AAD971">
      <w:pPr>
        <w:snapToGrid w:val="0"/>
        <w:rPr>
          <w:rFonts w:hint="eastAsia" w:ascii="宋体" w:hAnsi="宋体" w:eastAsia="宋体" w:cs="宋体"/>
          <w:b/>
          <w:bCs/>
          <w:sz w:val="24"/>
          <w:szCs w:val="28"/>
          <w:highlight w:val="none"/>
        </w:rPr>
      </w:pPr>
    </w:p>
    <w:p w14:paraId="58784F0A">
      <w:pPr>
        <w:snapToGrid w:val="0"/>
        <w:jc w:val="center"/>
        <w:outlineLvl w:val="0"/>
        <w:rPr>
          <w:rFonts w:hint="eastAsia" w:ascii="宋体" w:hAnsi="宋体" w:eastAsia="宋体" w:cs="宋体"/>
          <w:b/>
          <w:bCs/>
          <w:sz w:val="48"/>
          <w:szCs w:val="52"/>
          <w:highlight w:val="none"/>
        </w:rPr>
      </w:pPr>
      <w:r>
        <w:rPr>
          <w:rFonts w:hint="eastAsia" w:ascii="宋体" w:hAnsi="宋体" w:eastAsia="宋体" w:cs="宋体"/>
          <w:b/>
          <w:bCs/>
          <w:sz w:val="48"/>
          <w:szCs w:val="52"/>
          <w:highlight w:val="none"/>
          <w:lang w:val="en-US" w:eastAsia="zh-CN"/>
        </w:rPr>
        <w:t>眉山琏升光伏科技</w:t>
      </w:r>
      <w:r>
        <w:rPr>
          <w:rFonts w:hint="eastAsia" w:ascii="宋体" w:hAnsi="宋体" w:eastAsia="宋体" w:cs="宋体"/>
          <w:b/>
          <w:bCs/>
          <w:sz w:val="48"/>
          <w:szCs w:val="52"/>
          <w:highlight w:val="none"/>
        </w:rPr>
        <w:t>有限公司</w:t>
      </w:r>
    </w:p>
    <w:p w14:paraId="7B51838B">
      <w:pPr>
        <w:snapToGrid w:val="0"/>
        <w:jc w:val="center"/>
        <w:outlineLvl w:val="0"/>
        <w:rPr>
          <w:rFonts w:hint="eastAsia" w:ascii="宋体" w:hAnsi="宋体" w:eastAsia="宋体" w:cs="宋体"/>
          <w:b/>
          <w:bCs/>
          <w:sz w:val="48"/>
          <w:szCs w:val="52"/>
          <w:highlight w:val="none"/>
        </w:rPr>
      </w:pPr>
      <w:r>
        <w:rPr>
          <w:rFonts w:hint="eastAsia" w:ascii="宋体" w:hAnsi="宋体" w:eastAsia="宋体" w:cs="宋体"/>
          <w:b/>
          <w:bCs/>
          <w:sz w:val="48"/>
          <w:szCs w:val="52"/>
          <w:highlight w:val="none"/>
        </w:rPr>
        <w:t xml:space="preserve">新能源 </w:t>
      </w:r>
      <w:r>
        <w:rPr>
          <w:rFonts w:hint="eastAsia" w:ascii="宋体" w:hAnsi="宋体" w:eastAsia="宋体" w:cs="宋体"/>
          <w:b/>
          <w:bCs/>
          <w:sz w:val="48"/>
          <w:szCs w:val="52"/>
          <w:highlight w:val="none"/>
          <w:lang w:val="en-US" w:eastAsia="zh-CN"/>
        </w:rPr>
        <w:t>1</w:t>
      </w:r>
      <w:r>
        <w:rPr>
          <w:rFonts w:hint="eastAsia" w:ascii="宋体" w:hAnsi="宋体" w:eastAsia="宋体" w:cs="宋体"/>
          <w:b/>
          <w:bCs/>
          <w:sz w:val="48"/>
          <w:szCs w:val="52"/>
          <w:highlight w:val="none"/>
        </w:rPr>
        <w:t>GW 高效异质结</w:t>
      </w:r>
      <w:r>
        <w:rPr>
          <w:rFonts w:hint="eastAsia" w:ascii="宋体" w:hAnsi="宋体" w:eastAsia="宋体" w:cs="宋体"/>
          <w:b/>
          <w:bCs/>
          <w:sz w:val="48"/>
          <w:szCs w:val="52"/>
          <w:highlight w:val="none"/>
          <w:lang w:val="en-US" w:eastAsia="zh-CN"/>
        </w:rPr>
        <w:t>组件</w:t>
      </w:r>
      <w:r>
        <w:rPr>
          <w:rFonts w:hint="eastAsia" w:ascii="宋体" w:hAnsi="宋体" w:eastAsia="宋体" w:cs="宋体"/>
          <w:b/>
          <w:bCs/>
          <w:sz w:val="48"/>
          <w:szCs w:val="52"/>
          <w:highlight w:val="none"/>
        </w:rPr>
        <w:t>项目</w:t>
      </w:r>
    </w:p>
    <w:p w14:paraId="46D68F41">
      <w:pPr>
        <w:snapToGrid w:val="0"/>
        <w:jc w:val="center"/>
        <w:rPr>
          <w:rFonts w:hint="eastAsia" w:ascii="宋体" w:hAnsi="宋体" w:eastAsia="宋体" w:cs="宋体"/>
          <w:highlight w:val="none"/>
        </w:rPr>
      </w:pPr>
    </w:p>
    <w:p w14:paraId="509720D7">
      <w:pPr>
        <w:snapToGrid w:val="0"/>
        <w:jc w:val="center"/>
        <w:rPr>
          <w:rFonts w:hint="eastAsia" w:ascii="宋体" w:hAnsi="宋体" w:eastAsia="宋体" w:cs="宋体"/>
          <w:highlight w:val="none"/>
        </w:rPr>
      </w:pPr>
    </w:p>
    <w:p w14:paraId="3B0ABCD1">
      <w:pPr>
        <w:snapToGrid w:val="0"/>
        <w:jc w:val="center"/>
        <w:rPr>
          <w:rFonts w:hint="eastAsia" w:ascii="宋体" w:hAnsi="宋体" w:eastAsia="宋体" w:cs="宋体"/>
          <w:highlight w:val="none"/>
        </w:rPr>
      </w:pPr>
    </w:p>
    <w:p w14:paraId="6BFB7E06">
      <w:pPr>
        <w:snapToGrid w:val="0"/>
        <w:jc w:val="center"/>
        <w:rPr>
          <w:rFonts w:hint="eastAsia" w:ascii="宋体" w:hAnsi="宋体" w:eastAsia="宋体" w:cs="宋体"/>
          <w:highlight w:val="none"/>
        </w:rPr>
      </w:pPr>
    </w:p>
    <w:p w14:paraId="305ADF5B">
      <w:pPr>
        <w:snapToGrid w:val="0"/>
        <w:jc w:val="center"/>
        <w:rPr>
          <w:rFonts w:hint="eastAsia" w:ascii="宋体" w:hAnsi="宋体" w:eastAsia="宋体" w:cs="宋体"/>
          <w:highlight w:val="none"/>
        </w:rPr>
      </w:pPr>
    </w:p>
    <w:p w14:paraId="701D9BBB">
      <w:pPr>
        <w:snapToGrid w:val="0"/>
        <w:jc w:val="center"/>
        <w:rPr>
          <w:rFonts w:hint="eastAsia" w:ascii="宋体" w:hAnsi="宋体" w:eastAsia="宋体" w:cs="宋体"/>
          <w:highlight w:val="none"/>
        </w:rPr>
      </w:pPr>
    </w:p>
    <w:p w14:paraId="07294D8B">
      <w:pPr>
        <w:snapToGrid w:val="0"/>
        <w:jc w:val="center"/>
        <w:rPr>
          <w:rFonts w:hint="eastAsia" w:ascii="宋体" w:hAnsi="宋体" w:eastAsia="宋体" w:cs="宋体"/>
          <w:highlight w:val="none"/>
        </w:rPr>
      </w:pPr>
    </w:p>
    <w:p w14:paraId="343BE7F9">
      <w:pPr>
        <w:snapToGrid w:val="0"/>
        <w:jc w:val="center"/>
        <w:rPr>
          <w:rFonts w:hint="eastAsia" w:ascii="宋体" w:hAnsi="宋体" w:eastAsia="宋体" w:cs="宋体"/>
          <w:highlight w:val="none"/>
        </w:rPr>
      </w:pPr>
    </w:p>
    <w:p w14:paraId="6914CAD1">
      <w:pPr>
        <w:snapToGrid w:val="0"/>
        <w:jc w:val="center"/>
        <w:rPr>
          <w:rFonts w:hint="eastAsia" w:ascii="宋体" w:hAnsi="宋体" w:eastAsia="宋体" w:cs="宋体"/>
          <w:highlight w:val="none"/>
        </w:rPr>
      </w:pPr>
    </w:p>
    <w:p w14:paraId="404FEA66">
      <w:pPr>
        <w:snapToGrid w:val="0"/>
        <w:jc w:val="both"/>
        <w:rPr>
          <w:rFonts w:hint="eastAsia" w:ascii="宋体" w:hAnsi="宋体" w:eastAsia="宋体" w:cs="宋体"/>
          <w:highlight w:val="none"/>
        </w:rPr>
      </w:pPr>
    </w:p>
    <w:p w14:paraId="2BDE1592">
      <w:pPr>
        <w:spacing w:line="360" w:lineRule="auto"/>
        <w:jc w:val="center"/>
        <w:outlineLvl w:val="0"/>
        <w:rPr>
          <w:rFonts w:hint="eastAsia" w:ascii="宋体" w:hAnsi="宋体" w:eastAsia="宋体" w:cs="宋体"/>
          <w:b/>
          <w:sz w:val="52"/>
          <w:szCs w:val="52"/>
          <w:highlight w:val="none"/>
        </w:rPr>
      </w:pPr>
      <w:r>
        <w:rPr>
          <w:rFonts w:hint="eastAsia" w:ascii="宋体" w:hAnsi="宋体" w:eastAsia="宋体" w:cs="宋体"/>
          <w:b/>
          <w:sz w:val="52"/>
          <w:szCs w:val="52"/>
          <w:highlight w:val="none"/>
        </w:rPr>
        <w:t>竞争性谈判文件</w:t>
      </w:r>
    </w:p>
    <w:p w14:paraId="61704063">
      <w:pPr>
        <w:spacing w:line="360" w:lineRule="auto"/>
        <w:jc w:val="center"/>
        <w:outlineLvl w:val="0"/>
        <w:rPr>
          <w:rFonts w:hint="default" w:ascii="宋体" w:hAnsi="宋体" w:eastAsia="宋体" w:cs="宋体"/>
          <w:b/>
          <w:sz w:val="52"/>
          <w:szCs w:val="52"/>
          <w:highlight w:val="none"/>
          <w:lang w:val="en-US" w:eastAsia="zh-CN"/>
        </w:rPr>
      </w:pPr>
      <w:r>
        <w:rPr>
          <w:rFonts w:hint="eastAsia" w:ascii="宋体" w:hAnsi="宋体" w:eastAsia="宋体" w:cs="宋体"/>
          <w:b/>
          <w:sz w:val="52"/>
          <w:szCs w:val="52"/>
          <w:highlight w:val="none"/>
        </w:rPr>
        <w:t>文件编号：</w:t>
      </w:r>
      <w:r>
        <w:rPr>
          <w:rFonts w:hint="eastAsia" w:ascii="宋体" w:hAnsi="宋体" w:eastAsia="宋体" w:cs="宋体"/>
          <w:b/>
          <w:sz w:val="52"/>
          <w:szCs w:val="52"/>
          <w:highlight w:val="none"/>
          <w:lang w:val="en-US" w:eastAsia="zh-CN"/>
        </w:rPr>
        <w:t>LSZBCW-20250005</w:t>
      </w:r>
    </w:p>
    <w:p w14:paraId="07137DFD">
      <w:pPr>
        <w:spacing w:line="360" w:lineRule="auto"/>
        <w:jc w:val="center"/>
        <w:rPr>
          <w:rFonts w:hint="eastAsia" w:ascii="宋体" w:hAnsi="宋体" w:eastAsia="宋体" w:cs="宋体"/>
          <w:b/>
          <w:sz w:val="52"/>
          <w:szCs w:val="52"/>
          <w:highlight w:val="none"/>
        </w:rPr>
      </w:pPr>
    </w:p>
    <w:p w14:paraId="4EB0D4A6">
      <w:pPr>
        <w:spacing w:line="360" w:lineRule="auto"/>
        <w:jc w:val="center"/>
        <w:rPr>
          <w:rFonts w:hint="eastAsia" w:ascii="宋体" w:hAnsi="宋体" w:eastAsia="宋体" w:cs="宋体"/>
          <w:b/>
          <w:sz w:val="52"/>
          <w:szCs w:val="52"/>
          <w:highlight w:val="none"/>
        </w:rPr>
      </w:pPr>
    </w:p>
    <w:p w14:paraId="2F49589B">
      <w:pPr>
        <w:spacing w:line="360" w:lineRule="auto"/>
        <w:jc w:val="center"/>
        <w:rPr>
          <w:rFonts w:hint="eastAsia" w:ascii="宋体" w:hAnsi="宋体" w:eastAsia="宋体" w:cs="宋体"/>
          <w:b/>
          <w:sz w:val="52"/>
          <w:szCs w:val="52"/>
          <w:highlight w:val="none"/>
        </w:rPr>
      </w:pPr>
    </w:p>
    <w:p w14:paraId="4A4C51DA">
      <w:pPr>
        <w:spacing w:line="360" w:lineRule="auto"/>
        <w:jc w:val="center"/>
        <w:rPr>
          <w:rFonts w:hint="eastAsia" w:ascii="宋体" w:hAnsi="宋体" w:eastAsia="宋体" w:cs="宋体"/>
          <w:b/>
          <w:sz w:val="52"/>
          <w:szCs w:val="52"/>
          <w:highlight w:val="none"/>
        </w:rPr>
      </w:pPr>
    </w:p>
    <w:p w14:paraId="244533BC">
      <w:pPr>
        <w:spacing w:line="360" w:lineRule="auto"/>
        <w:jc w:val="center"/>
        <w:rPr>
          <w:rFonts w:hint="eastAsia" w:ascii="宋体" w:hAnsi="宋体" w:eastAsia="宋体" w:cs="宋体"/>
          <w:b/>
          <w:sz w:val="52"/>
          <w:szCs w:val="52"/>
          <w:highlight w:val="none"/>
        </w:rPr>
      </w:pPr>
    </w:p>
    <w:p w14:paraId="217C1D85">
      <w:pPr>
        <w:spacing w:line="360" w:lineRule="auto"/>
        <w:jc w:val="both"/>
        <w:rPr>
          <w:rFonts w:hint="eastAsia" w:ascii="宋体" w:hAnsi="宋体" w:eastAsia="宋体" w:cs="宋体"/>
          <w:b/>
          <w:sz w:val="52"/>
          <w:szCs w:val="52"/>
          <w:highlight w:val="none"/>
        </w:rPr>
      </w:pPr>
    </w:p>
    <w:p w14:paraId="3C2E97F3">
      <w:pPr>
        <w:spacing w:line="360" w:lineRule="auto"/>
        <w:jc w:val="center"/>
        <w:outlineLvl w:val="0"/>
        <w:rPr>
          <w:rFonts w:hint="eastAsia" w:ascii="宋体" w:hAnsi="宋体" w:eastAsia="宋体" w:cs="宋体"/>
          <w:b/>
          <w:sz w:val="52"/>
          <w:szCs w:val="52"/>
          <w:highlight w:val="none"/>
        </w:rPr>
      </w:pPr>
      <w:r>
        <w:rPr>
          <w:rFonts w:hint="eastAsia" w:ascii="宋体" w:hAnsi="宋体" w:eastAsia="宋体" w:cs="宋体"/>
          <w:b/>
          <w:sz w:val="52"/>
          <w:szCs w:val="52"/>
          <w:highlight w:val="none"/>
          <w:lang w:val="en-US" w:eastAsia="zh-CN"/>
        </w:rPr>
        <w:t>眉山琏升光伏科技</w:t>
      </w:r>
      <w:r>
        <w:rPr>
          <w:rFonts w:hint="eastAsia" w:ascii="宋体" w:hAnsi="宋体" w:eastAsia="宋体" w:cs="宋体"/>
          <w:b/>
          <w:sz w:val="52"/>
          <w:szCs w:val="52"/>
          <w:highlight w:val="none"/>
        </w:rPr>
        <w:t>有限公司</w:t>
      </w:r>
    </w:p>
    <w:p w14:paraId="72B05A2E">
      <w:pPr>
        <w:spacing w:line="360" w:lineRule="auto"/>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t>20</w:t>
      </w:r>
      <w:r>
        <w:rPr>
          <w:rFonts w:hint="eastAsia" w:ascii="宋体" w:hAnsi="宋体" w:eastAsia="宋体" w:cs="宋体"/>
          <w:b/>
          <w:sz w:val="52"/>
          <w:szCs w:val="52"/>
          <w:highlight w:val="none"/>
          <w:lang w:val="en-US" w:eastAsia="zh-CN"/>
        </w:rPr>
        <w:t>25</w:t>
      </w:r>
      <w:r>
        <w:rPr>
          <w:rFonts w:hint="eastAsia" w:ascii="宋体" w:hAnsi="宋体" w:eastAsia="宋体" w:cs="宋体"/>
          <w:b/>
          <w:sz w:val="52"/>
          <w:szCs w:val="52"/>
          <w:highlight w:val="none"/>
        </w:rPr>
        <w:t>年</w:t>
      </w:r>
      <w:r>
        <w:rPr>
          <w:rFonts w:hint="eastAsia" w:ascii="宋体" w:hAnsi="宋体" w:eastAsia="宋体" w:cs="宋体"/>
          <w:b/>
          <w:sz w:val="52"/>
          <w:szCs w:val="52"/>
          <w:highlight w:val="none"/>
          <w:lang w:val="en-US" w:eastAsia="zh-CN"/>
        </w:rPr>
        <w:t>11</w:t>
      </w:r>
      <w:r>
        <w:rPr>
          <w:rFonts w:hint="eastAsia" w:ascii="宋体" w:hAnsi="宋体" w:eastAsia="宋体" w:cs="宋体"/>
          <w:b/>
          <w:sz w:val="52"/>
          <w:szCs w:val="52"/>
          <w:highlight w:val="none"/>
        </w:rPr>
        <w:t>月</w:t>
      </w:r>
    </w:p>
    <w:p w14:paraId="3E787D80">
      <w:pPr>
        <w:spacing w:line="360" w:lineRule="auto"/>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br w:type="page"/>
      </w:r>
    </w:p>
    <w:p w14:paraId="667A7470">
      <w:pPr>
        <w:pStyle w:val="14"/>
        <w:rPr>
          <w:rFonts w:hint="eastAsia" w:ascii="宋体" w:hAnsi="宋体" w:eastAsia="宋体" w:cs="宋体"/>
          <w:highlight w:val="none"/>
        </w:rPr>
      </w:pPr>
    </w:p>
    <w:sdt>
      <w:sdtPr>
        <w:rPr>
          <w:rFonts w:hint="eastAsia" w:ascii="宋体" w:hAnsi="宋体" w:eastAsia="宋体" w:cs="宋体"/>
          <w:color w:val="auto"/>
          <w:kern w:val="2"/>
          <w:sz w:val="21"/>
          <w:szCs w:val="22"/>
          <w:highlight w:val="none"/>
          <w:lang w:val="zh-CN"/>
        </w:rPr>
        <w:id w:val="582797841"/>
        <w:docPartObj>
          <w:docPartGallery w:val="Table of Contents"/>
          <w:docPartUnique/>
        </w:docPartObj>
      </w:sdtPr>
      <w:sdtEndPr>
        <w:rPr>
          <w:rFonts w:hint="eastAsia" w:ascii="宋体" w:hAnsi="宋体" w:eastAsia="宋体" w:cs="宋体"/>
          <w:b/>
          <w:bCs/>
          <w:color w:val="auto"/>
          <w:kern w:val="2"/>
          <w:sz w:val="21"/>
          <w:szCs w:val="22"/>
          <w:highlight w:val="none"/>
          <w:lang w:val="zh-CN"/>
        </w:rPr>
      </w:sdtEndPr>
      <w:sdtContent>
        <w:p w14:paraId="478A1AE2">
          <w:pPr>
            <w:pStyle w:val="35"/>
            <w:jc w:val="center"/>
            <w:rPr>
              <w:rFonts w:hint="eastAsia" w:ascii="宋体" w:hAnsi="宋体" w:eastAsia="宋体" w:cs="宋体"/>
              <w:color w:val="000000" w:themeColor="text1"/>
              <w:sz w:val="52"/>
              <w:szCs w:val="52"/>
              <w:highlight w:val="none"/>
              <w:lang w:val="zh-CN"/>
              <w14:textFill>
                <w14:solidFill>
                  <w14:schemeClr w14:val="tx1"/>
                </w14:solidFill>
              </w14:textFill>
            </w:rPr>
          </w:pPr>
          <w:r>
            <w:rPr>
              <w:rFonts w:hint="eastAsia" w:ascii="宋体" w:hAnsi="宋体" w:eastAsia="宋体" w:cs="宋体"/>
              <w:color w:val="000000" w:themeColor="text1"/>
              <w:sz w:val="52"/>
              <w:szCs w:val="52"/>
              <w:highlight w:val="none"/>
              <w:lang w:val="zh-CN"/>
              <w14:textFill>
                <w14:solidFill>
                  <w14:schemeClr w14:val="tx1"/>
                </w14:solidFill>
              </w14:textFill>
            </w:rPr>
            <w:t>目录</w:t>
          </w:r>
        </w:p>
        <w:p w14:paraId="4C848055">
          <w:pPr>
            <w:rPr>
              <w:rFonts w:hint="eastAsia" w:ascii="宋体" w:hAnsi="宋体" w:eastAsia="宋体" w:cs="宋体"/>
              <w:highlight w:val="none"/>
              <w:lang w:val="zh-CN"/>
            </w:rPr>
          </w:pPr>
        </w:p>
        <w:p w14:paraId="244E9A83">
          <w:pPr>
            <w:pStyle w:val="14"/>
            <w:tabs>
              <w:tab w:val="left" w:pos="840"/>
              <w:tab w:val="right" w:leader="dot" w:pos="9771"/>
            </w:tabs>
            <w:rPr>
              <w:rFonts w:hint="eastAsia" w:ascii="宋体" w:hAnsi="宋体" w:eastAsia="宋体" w:cs="宋体"/>
              <w:b w:val="0"/>
              <w:bCs w:val="0"/>
              <w:caps w:val="0"/>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TOC \o "1-3" \h \z \u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"_Toc115424825" </w:instrText>
          </w:r>
          <w:r>
            <w:rPr>
              <w:rFonts w:hint="eastAsia" w:ascii="宋体" w:hAnsi="宋体" w:eastAsia="宋体" w:cs="宋体"/>
              <w:highlight w:val="none"/>
            </w:rPr>
            <w:fldChar w:fldCharType="separate"/>
          </w:r>
          <w:r>
            <w:rPr>
              <w:rStyle w:val="23"/>
              <w:rFonts w:hint="eastAsia" w:ascii="宋体" w:hAnsi="宋体" w:eastAsia="宋体" w:cs="宋体"/>
              <w:sz w:val="28"/>
              <w:szCs w:val="28"/>
              <w:highlight w:val="none"/>
            </w:rPr>
            <w:t xml:space="preserve">第一章 </w:t>
          </w:r>
          <w:r>
            <w:rPr>
              <w:rFonts w:hint="eastAsia" w:ascii="宋体" w:hAnsi="宋体" w:eastAsia="宋体" w:cs="宋体"/>
              <w:b w:val="0"/>
              <w:bCs w:val="0"/>
              <w:caps w:val="0"/>
              <w:sz w:val="28"/>
              <w:szCs w:val="28"/>
              <w:highlight w:val="none"/>
            </w:rPr>
            <w:t xml:space="preserve"> </w:t>
          </w:r>
          <w:r>
            <w:rPr>
              <w:rStyle w:val="23"/>
              <w:rFonts w:hint="eastAsia" w:ascii="宋体" w:hAnsi="宋体" w:eastAsia="宋体" w:cs="宋体"/>
              <w:sz w:val="28"/>
              <w:szCs w:val="28"/>
              <w:highlight w:val="none"/>
            </w:rPr>
            <w:t>竞标邀请书</w:t>
          </w:r>
          <w:r>
            <w:rPr>
              <w:rFonts w:hint="eastAsia" w:ascii="宋体" w:hAnsi="宋体" w:eastAsia="宋体" w:cs="宋体"/>
              <w:color w:val="BFBFBF" w:themeColor="background1" w:themeShade="BF"/>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_Toc115424825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A929075">
          <w:pPr>
            <w:pStyle w:val="14"/>
            <w:tabs>
              <w:tab w:val="left" w:pos="840"/>
              <w:tab w:val="right" w:leader="dot" w:pos="9771"/>
            </w:tabs>
            <w:rPr>
              <w:rFonts w:hint="eastAsia" w:ascii="宋体" w:hAnsi="宋体" w:eastAsia="宋体" w:cs="宋体"/>
              <w:b w:val="0"/>
              <w:bCs w:val="0"/>
              <w:caps w:val="0"/>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"_Toc115424826" </w:instrText>
          </w:r>
          <w:r>
            <w:rPr>
              <w:rFonts w:hint="eastAsia" w:ascii="宋体" w:hAnsi="宋体" w:eastAsia="宋体" w:cs="宋体"/>
              <w:highlight w:val="none"/>
            </w:rPr>
            <w:fldChar w:fldCharType="separate"/>
          </w:r>
          <w:r>
            <w:rPr>
              <w:rStyle w:val="23"/>
              <w:rFonts w:hint="eastAsia" w:ascii="宋体" w:hAnsi="宋体" w:eastAsia="宋体" w:cs="宋体"/>
              <w:sz w:val="28"/>
              <w:szCs w:val="28"/>
              <w:highlight w:val="none"/>
            </w:rPr>
            <w:t>第二章</w:t>
          </w:r>
          <w:r>
            <w:rPr>
              <w:rFonts w:hint="eastAsia" w:ascii="宋体" w:hAnsi="宋体" w:eastAsia="宋体" w:cs="宋体"/>
              <w:b w:val="0"/>
              <w:bCs w:val="0"/>
              <w:caps w:val="0"/>
              <w:sz w:val="28"/>
              <w:szCs w:val="28"/>
              <w:highlight w:val="none"/>
            </w:rPr>
            <w:t xml:space="preserve">  </w:t>
          </w:r>
          <w:r>
            <w:rPr>
              <w:rStyle w:val="23"/>
              <w:rFonts w:hint="eastAsia" w:ascii="宋体" w:hAnsi="宋体" w:eastAsia="宋体" w:cs="宋体"/>
              <w:sz w:val="28"/>
              <w:szCs w:val="28"/>
              <w:highlight w:val="none"/>
            </w:rPr>
            <w:t>竞标前须知</w:t>
          </w:r>
          <w:r>
            <w:rPr>
              <w:rFonts w:hint="eastAsia" w:ascii="宋体" w:hAnsi="宋体" w:eastAsia="宋体" w:cs="宋体"/>
              <w:color w:val="BFBFBF" w:themeColor="background1" w:themeShade="BF"/>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_Toc115424826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5D78A100">
          <w:pPr>
            <w:pStyle w:val="14"/>
            <w:tabs>
              <w:tab w:val="left" w:pos="840"/>
              <w:tab w:val="right" w:leader="dot" w:pos="9771"/>
            </w:tabs>
            <w:rPr>
              <w:rFonts w:hint="eastAsia" w:ascii="宋体" w:hAnsi="宋体" w:eastAsia="宋体" w:cs="宋体"/>
              <w:b w:val="0"/>
              <w:bCs w:val="0"/>
              <w:caps w:val="0"/>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"_Toc115424827" </w:instrText>
          </w:r>
          <w:r>
            <w:rPr>
              <w:rFonts w:hint="eastAsia" w:ascii="宋体" w:hAnsi="宋体" w:eastAsia="宋体" w:cs="宋体"/>
              <w:highlight w:val="none"/>
            </w:rPr>
            <w:fldChar w:fldCharType="separate"/>
          </w:r>
          <w:r>
            <w:rPr>
              <w:rStyle w:val="23"/>
              <w:rFonts w:hint="eastAsia" w:ascii="宋体" w:hAnsi="宋体" w:eastAsia="宋体" w:cs="宋体"/>
              <w:sz w:val="28"/>
              <w:szCs w:val="28"/>
              <w:highlight w:val="none"/>
            </w:rPr>
            <w:t>第三章</w:t>
          </w:r>
          <w:r>
            <w:rPr>
              <w:rFonts w:hint="eastAsia" w:ascii="宋体" w:hAnsi="宋体" w:eastAsia="宋体" w:cs="宋体"/>
              <w:b w:val="0"/>
              <w:bCs w:val="0"/>
              <w:caps w:val="0"/>
              <w:sz w:val="28"/>
              <w:szCs w:val="28"/>
              <w:highlight w:val="none"/>
            </w:rPr>
            <w:t xml:space="preserve">  </w:t>
          </w:r>
          <w:r>
            <w:rPr>
              <w:rStyle w:val="23"/>
              <w:rFonts w:hint="eastAsia" w:ascii="宋体" w:hAnsi="宋体" w:eastAsia="宋体" w:cs="宋体"/>
              <w:sz w:val="28"/>
              <w:szCs w:val="28"/>
              <w:highlight w:val="none"/>
            </w:rPr>
            <w:t>开标、评标须知</w:t>
          </w:r>
          <w:r>
            <w:rPr>
              <w:rFonts w:hint="eastAsia" w:ascii="宋体" w:hAnsi="宋体" w:eastAsia="宋体" w:cs="宋体"/>
              <w:color w:val="BFBFBF" w:themeColor="background1" w:themeShade="BF"/>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_Toc115424827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4D2E656E">
          <w:pPr>
            <w:pStyle w:val="14"/>
            <w:tabs>
              <w:tab w:val="left" w:pos="840"/>
              <w:tab w:val="right" w:leader="dot" w:pos="9771"/>
            </w:tabs>
            <w:rPr>
              <w:rFonts w:hint="eastAsia" w:ascii="宋体" w:hAnsi="宋体" w:eastAsia="宋体" w:cs="宋体"/>
              <w:b w:val="0"/>
              <w:bCs w:val="0"/>
              <w:caps w:val="0"/>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"_Toc115424828" </w:instrText>
          </w:r>
          <w:r>
            <w:rPr>
              <w:rFonts w:hint="eastAsia" w:ascii="宋体" w:hAnsi="宋体" w:eastAsia="宋体" w:cs="宋体"/>
              <w:highlight w:val="none"/>
            </w:rPr>
            <w:fldChar w:fldCharType="separate"/>
          </w:r>
          <w:r>
            <w:rPr>
              <w:rStyle w:val="23"/>
              <w:rFonts w:hint="eastAsia" w:ascii="宋体" w:hAnsi="宋体" w:eastAsia="宋体" w:cs="宋体"/>
              <w:sz w:val="28"/>
              <w:szCs w:val="28"/>
              <w:highlight w:val="none"/>
            </w:rPr>
            <w:t>第四章</w:t>
          </w:r>
          <w:r>
            <w:rPr>
              <w:rFonts w:hint="eastAsia" w:ascii="宋体" w:hAnsi="宋体" w:eastAsia="宋体" w:cs="宋体"/>
              <w:b w:val="0"/>
              <w:bCs w:val="0"/>
              <w:caps w:val="0"/>
              <w:sz w:val="28"/>
              <w:szCs w:val="28"/>
              <w:highlight w:val="none"/>
            </w:rPr>
            <w:t xml:space="preserve">  </w:t>
          </w:r>
          <w:r>
            <w:rPr>
              <w:rStyle w:val="23"/>
              <w:rFonts w:hint="eastAsia" w:ascii="宋体" w:hAnsi="宋体" w:eastAsia="宋体" w:cs="宋体"/>
              <w:sz w:val="28"/>
              <w:szCs w:val="28"/>
              <w:highlight w:val="none"/>
            </w:rPr>
            <w:t>技术要求</w:t>
          </w:r>
          <w:r>
            <w:rPr>
              <w:rFonts w:hint="eastAsia" w:ascii="宋体" w:hAnsi="宋体" w:eastAsia="宋体" w:cs="宋体"/>
              <w:color w:val="BFBFBF" w:themeColor="background1" w:themeShade="BF"/>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_Toc115424828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9</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4CB5BF51">
          <w:pPr>
            <w:pStyle w:val="14"/>
            <w:tabs>
              <w:tab w:val="left" w:pos="840"/>
              <w:tab w:val="right" w:leader="dot" w:pos="9771"/>
            </w:tabs>
            <w:rPr>
              <w:rFonts w:hint="eastAsia" w:ascii="宋体" w:hAnsi="宋体" w:eastAsia="宋体" w:cs="宋体"/>
              <w:b w:val="0"/>
              <w:bCs w:val="0"/>
              <w:caps w:val="0"/>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"_Toc115424829" </w:instrText>
          </w:r>
          <w:r>
            <w:rPr>
              <w:rFonts w:hint="eastAsia" w:ascii="宋体" w:hAnsi="宋体" w:eastAsia="宋体" w:cs="宋体"/>
              <w:highlight w:val="none"/>
            </w:rPr>
            <w:fldChar w:fldCharType="separate"/>
          </w:r>
          <w:r>
            <w:rPr>
              <w:rStyle w:val="23"/>
              <w:rFonts w:hint="eastAsia" w:ascii="宋体" w:hAnsi="宋体" w:eastAsia="宋体" w:cs="宋体"/>
              <w:sz w:val="28"/>
              <w:szCs w:val="28"/>
              <w:highlight w:val="none"/>
            </w:rPr>
            <w:t>第五章</w:t>
          </w:r>
          <w:r>
            <w:rPr>
              <w:rFonts w:hint="eastAsia" w:ascii="宋体" w:hAnsi="宋体" w:eastAsia="宋体" w:cs="宋体"/>
              <w:b w:val="0"/>
              <w:bCs w:val="0"/>
              <w:caps w:val="0"/>
              <w:sz w:val="28"/>
              <w:szCs w:val="28"/>
              <w:highlight w:val="none"/>
            </w:rPr>
            <w:t xml:space="preserve">  </w:t>
          </w:r>
          <w:r>
            <w:rPr>
              <w:rStyle w:val="23"/>
              <w:rFonts w:hint="eastAsia" w:ascii="宋体" w:hAnsi="宋体" w:eastAsia="宋体" w:cs="宋体"/>
              <w:sz w:val="28"/>
              <w:szCs w:val="28"/>
              <w:highlight w:val="none"/>
            </w:rPr>
            <w:t>附件</w:t>
          </w:r>
          <w:r>
            <w:rPr>
              <w:rFonts w:hint="eastAsia" w:ascii="宋体" w:hAnsi="宋体" w:eastAsia="宋体" w:cs="宋体"/>
              <w:color w:val="BFBFBF" w:themeColor="background1" w:themeShade="BF"/>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_Toc115424829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DBC1F79">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"_Toc115424830"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竞标书</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_Toc115424830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11</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14:paraId="0469DC73">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"_Toc115424831"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竞标人关于资格的声明函</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_Toc115424831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12</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14:paraId="060E284A">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"_Toc115424832"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法定代表人授权委托书</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_Toc115424832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13</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14:paraId="0C84208B">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"_Toc115424833"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竞标人承诺函</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_Toc115424833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14</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14:paraId="7D77C5E9">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"_Toc115424834"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开标一览表</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_Toc115424834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15</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14:paraId="1A08FC5B">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"_Toc115424835"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诚信合作与公平竞争协议</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_Toc115424835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16</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14:paraId="57C84544">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"_Toc115424836"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招竞标保密协议</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_Toc115424836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18</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14:paraId="0C0B036D">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"_Toc115424837"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采购合同</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_Toc115424837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21</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14:paraId="4B727196">
          <w:pPr>
            <w:pStyle w:val="17"/>
            <w:spacing w:line="480" w:lineRule="auto"/>
            <w:ind w:left="0" w:leftChars="0" w:firstLine="0" w:firstLineChars="0"/>
            <w:rPr>
              <w:rFonts w:hint="eastAsia" w:ascii="宋体" w:hAnsi="宋体" w:eastAsia="宋体" w:cs="宋体"/>
              <w:b w:val="0"/>
              <w:bCs w:val="0"/>
              <w:smallCaps w:val="0"/>
              <w:color w:val="404040" w:themeColor="text1" w:themeTint="BF"/>
              <w:sz w:val="22"/>
              <w:szCs w:val="24"/>
              <w:highlight w:val="none"/>
              <w14:textFill>
                <w14:solidFill>
                  <w14:schemeClr w14:val="tx1">
                    <w14:lumMod w14:val="75000"/>
                    <w14:lumOff w14:val="25000"/>
                  </w14:schemeClr>
                </w14:solidFill>
              </w14:textFill>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"_Toc115424838"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《招标采购技术要求规范》详见技术附件</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_Toc115424838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32</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14:paraId="7D75E789">
          <w:pPr>
            <w:rPr>
              <w:rFonts w:hint="eastAsia" w:ascii="宋体" w:hAnsi="宋体" w:eastAsia="宋体" w:cs="宋体"/>
              <w:highlight w:val="none"/>
            </w:rPr>
          </w:pPr>
          <w:r>
            <w:rPr>
              <w:rFonts w:hint="eastAsia" w:ascii="宋体" w:hAnsi="宋体" w:eastAsia="宋体" w:cs="宋体"/>
              <w:b/>
              <w:bCs/>
              <w:highlight w:val="none"/>
              <w:lang w:val="zh-CN"/>
            </w:rPr>
            <w:fldChar w:fldCharType="end"/>
          </w:r>
        </w:p>
      </w:sdtContent>
    </w:sdt>
    <w:p w14:paraId="1671DB18">
      <w:pPr>
        <w:widowControl/>
        <w:snapToGrid w:val="0"/>
        <w:spacing w:line="360" w:lineRule="auto"/>
        <w:jc w:val="left"/>
        <w:rPr>
          <w:rFonts w:hint="eastAsia" w:ascii="宋体" w:hAnsi="宋体" w:eastAsia="宋体" w:cs="宋体"/>
          <w:sz w:val="28"/>
          <w:szCs w:val="28"/>
          <w:highlight w:val="none"/>
        </w:rPr>
      </w:pPr>
    </w:p>
    <w:p w14:paraId="44362D88">
      <w:pPr>
        <w:widowControl/>
        <w:jc w:val="left"/>
        <w:rPr>
          <w:rFonts w:hint="eastAsia" w:ascii="宋体" w:hAnsi="宋体" w:eastAsia="宋体" w:cs="宋体"/>
          <w:sz w:val="24"/>
          <w:szCs w:val="28"/>
          <w:highlight w:val="none"/>
        </w:rPr>
        <w:sectPr>
          <w:footerReference r:id="rId3" w:type="default"/>
          <w:pgSz w:w="11906" w:h="16838"/>
          <w:pgMar w:top="993" w:right="991" w:bottom="851" w:left="1134" w:header="851" w:footer="348" w:gutter="0"/>
          <w:cols w:space="425" w:num="1"/>
          <w:docGrid w:type="lines" w:linePitch="312" w:charSpace="0"/>
        </w:sectPr>
      </w:pPr>
    </w:p>
    <w:p w14:paraId="303A73FC">
      <w:pPr>
        <w:widowControl/>
        <w:jc w:val="left"/>
        <w:rPr>
          <w:rFonts w:hint="eastAsia" w:ascii="宋体" w:hAnsi="宋体" w:eastAsia="宋体" w:cs="宋体"/>
          <w:sz w:val="24"/>
          <w:szCs w:val="28"/>
          <w:highlight w:val="none"/>
        </w:rPr>
      </w:pPr>
    </w:p>
    <w:p w14:paraId="52073060">
      <w:pPr>
        <w:pStyle w:val="28"/>
        <w:numPr>
          <w:ilvl w:val="0"/>
          <w:numId w:val="1"/>
        </w:numPr>
        <w:snapToGrid w:val="0"/>
        <w:spacing w:line="360" w:lineRule="auto"/>
        <w:ind w:left="0" w:firstLine="0" w:firstLineChars="0"/>
        <w:jc w:val="center"/>
        <w:outlineLvl w:val="0"/>
        <w:rPr>
          <w:rFonts w:hint="eastAsia" w:ascii="宋体" w:hAnsi="宋体" w:eastAsia="宋体" w:cs="宋体"/>
          <w:b/>
          <w:bCs/>
          <w:sz w:val="32"/>
          <w:szCs w:val="32"/>
          <w:highlight w:val="none"/>
        </w:rPr>
      </w:pPr>
      <w:bookmarkStart w:id="0" w:name="_Toc115424825"/>
      <w:bookmarkStart w:id="1" w:name="_Toc115362483"/>
      <w:bookmarkStart w:id="2" w:name="_Toc115362799"/>
      <w:bookmarkStart w:id="3" w:name="_Toc115362580"/>
      <w:bookmarkStart w:id="4" w:name="_Hlk115359927"/>
      <w:r>
        <w:rPr>
          <w:rFonts w:hint="eastAsia" w:ascii="宋体" w:hAnsi="宋体" w:eastAsia="宋体" w:cs="宋体"/>
          <w:b/>
          <w:bCs/>
          <w:sz w:val="32"/>
          <w:szCs w:val="32"/>
          <w:highlight w:val="none"/>
        </w:rPr>
        <w:t>竞标邀请书</w:t>
      </w:r>
      <w:bookmarkEnd w:id="0"/>
      <w:bookmarkEnd w:id="1"/>
      <w:bookmarkEnd w:id="2"/>
      <w:bookmarkEnd w:id="3"/>
    </w:p>
    <w:bookmarkEnd w:id="4"/>
    <w:p w14:paraId="0E65C4C6">
      <w:pPr>
        <w:snapToGrid w:val="0"/>
        <w:spacing w:line="360" w:lineRule="auto"/>
        <w:ind w:firstLine="420"/>
        <w:jc w:val="left"/>
        <w:rPr>
          <w:rFonts w:hint="eastAsia" w:ascii="宋体" w:hAnsi="宋体" w:eastAsia="宋体" w:cs="宋体"/>
          <w:highlight w:val="none"/>
        </w:rPr>
      </w:pPr>
      <w:bookmarkStart w:id="5" w:name="_Hlk115360115"/>
      <w:r>
        <w:rPr>
          <w:rFonts w:hint="eastAsia" w:ascii="宋体" w:hAnsi="宋体" w:eastAsia="宋体" w:cs="宋体"/>
          <w:highlight w:val="none"/>
        </w:rPr>
        <w:t>本次招标，旨在通过邀请符合资质及技术等要求的单位进行竞标，从而选择最符合我司需求的设备及服务。本着公平、公正、公开的原则，现对</w:t>
      </w:r>
      <w:r>
        <w:rPr>
          <w:rFonts w:hint="eastAsia" w:ascii="宋体" w:hAnsi="宋体" w:eastAsia="宋体" w:cs="宋体"/>
          <w:highlight w:val="none"/>
          <w:lang w:eastAsia="zh-CN"/>
        </w:rPr>
        <w:t>“眉山琏升光伏科技有限公司新能源 1GW 高效异质结组件项目“</w:t>
      </w:r>
      <w:r>
        <w:rPr>
          <w:rFonts w:hint="eastAsia" w:ascii="宋体" w:hAnsi="宋体" w:eastAsia="宋体" w:cs="宋体"/>
          <w:highlight w:val="none"/>
          <w:lang w:val="en-US" w:eastAsia="zh-CN"/>
        </w:rPr>
        <w:t>无损激光划片机”</w:t>
      </w:r>
      <w:r>
        <w:rPr>
          <w:rFonts w:hint="eastAsia" w:ascii="宋体" w:hAnsi="宋体" w:eastAsia="宋体" w:cs="宋体"/>
          <w:highlight w:val="none"/>
        </w:rPr>
        <w:t>进行招标，具体内容如下：</w:t>
      </w:r>
    </w:p>
    <w:p w14:paraId="37632B91">
      <w:pPr>
        <w:snapToGrid w:val="0"/>
        <w:spacing w:line="360" w:lineRule="auto"/>
        <w:jc w:val="left"/>
        <w:outlineLvl w:val="1"/>
        <w:rPr>
          <w:rFonts w:hint="eastAsia" w:ascii="宋体" w:hAnsi="宋体" w:eastAsia="宋体" w:cs="宋体"/>
          <w:b/>
          <w:bCs/>
          <w:highlight w:val="none"/>
        </w:rPr>
      </w:pPr>
      <w:r>
        <w:rPr>
          <w:rFonts w:hint="eastAsia" w:ascii="宋体" w:hAnsi="宋体" w:eastAsia="宋体" w:cs="宋体"/>
          <w:b/>
          <w:bCs/>
          <w:highlight w:val="none"/>
        </w:rPr>
        <w:t>1、项目概况</w:t>
      </w:r>
    </w:p>
    <w:p w14:paraId="122D569A">
      <w:pPr>
        <w:keepNext w:val="0"/>
        <w:keepLines w:val="0"/>
        <w:widowControl/>
        <w:suppressLineNumbers w:val="0"/>
        <w:jc w:val="left"/>
        <w:rPr>
          <w:rFonts w:hint="default" w:ascii="宋体" w:hAnsi="宋体" w:eastAsia="宋体" w:cs="宋体"/>
          <w:highlight w:val="none"/>
          <w:lang w:val="en-US" w:eastAsia="zh-CN"/>
        </w:rPr>
      </w:pPr>
      <w:r>
        <w:rPr>
          <w:rFonts w:hint="eastAsia" w:ascii="宋体" w:hAnsi="宋体" w:eastAsia="宋体" w:cs="宋体"/>
          <w:highlight w:val="none"/>
        </w:rPr>
        <w:t xml:space="preserve">1.1项目名称： </w:t>
      </w:r>
      <w:r>
        <w:rPr>
          <w:rFonts w:hint="eastAsia" w:ascii="宋体" w:hAnsi="宋体" w:eastAsia="宋体" w:cs="宋体"/>
          <w:highlight w:val="none"/>
          <w:lang w:eastAsia="zh-CN"/>
        </w:rPr>
        <w:t>眉山琏升光伏科技有限公司新能源 1GW 高效异质结组件项目</w:t>
      </w:r>
      <w:r>
        <w:rPr>
          <w:rFonts w:hint="eastAsia" w:ascii="宋体" w:hAnsi="宋体" w:eastAsia="宋体" w:cs="宋体"/>
          <w:highlight w:val="none"/>
        </w:rPr>
        <w:t>---</w:t>
      </w:r>
      <w:r>
        <w:rPr>
          <w:rFonts w:hint="eastAsia" w:ascii="宋体" w:hAnsi="宋体" w:eastAsia="宋体" w:cs="宋体"/>
          <w:highlight w:val="none"/>
          <w:lang w:val="en-US" w:eastAsia="zh-CN"/>
        </w:rPr>
        <w:t>无损激光划片机项目</w:t>
      </w:r>
    </w:p>
    <w:p w14:paraId="49BB8B07">
      <w:pPr>
        <w:snapToGrid w:val="0"/>
        <w:spacing w:line="360" w:lineRule="auto"/>
        <w:ind w:left="2310" w:hanging="2310" w:hangingChars="1100"/>
        <w:jc w:val="left"/>
        <w:rPr>
          <w:rFonts w:hint="eastAsia" w:ascii="宋体" w:hAnsi="宋体" w:eastAsia="宋体" w:cs="宋体"/>
          <w:highlight w:val="none"/>
        </w:rPr>
      </w:pPr>
      <w:r>
        <w:rPr>
          <w:rFonts w:hint="eastAsia" w:ascii="宋体" w:hAnsi="宋体" w:eastAsia="宋体" w:cs="宋体"/>
          <w:highlight w:val="none"/>
        </w:rPr>
        <w:t>1.2项目地址：</w:t>
      </w:r>
      <w:r>
        <w:rPr>
          <w:rFonts w:hint="eastAsia" w:ascii="宋体" w:hAnsi="宋体" w:eastAsia="宋体" w:cs="宋体"/>
          <w:highlight w:val="none"/>
          <w:lang w:val="en-US" w:eastAsia="zh-CN"/>
        </w:rPr>
        <w:t>四川省眉山市丹棱县（丹棱经济开发区A区）兴欣大道1号</w:t>
      </w:r>
    </w:p>
    <w:p w14:paraId="5BEB5DA4">
      <w:pPr>
        <w:snapToGrid w:val="0"/>
        <w:spacing w:line="360" w:lineRule="auto"/>
        <w:jc w:val="left"/>
        <w:outlineLvl w:val="1"/>
        <w:rPr>
          <w:rFonts w:hint="eastAsia" w:ascii="宋体" w:hAnsi="宋体" w:eastAsia="宋体" w:cs="宋体"/>
          <w:b/>
          <w:bCs/>
          <w:highlight w:val="none"/>
        </w:rPr>
      </w:pPr>
      <w:r>
        <w:rPr>
          <w:rFonts w:hint="eastAsia" w:ascii="宋体" w:hAnsi="宋体" w:eastAsia="宋体" w:cs="宋体"/>
          <w:b/>
          <w:bCs/>
          <w:highlight w:val="none"/>
        </w:rPr>
        <w:t>2、招竞标流程</w:t>
      </w:r>
    </w:p>
    <w:p w14:paraId="571E042C">
      <w:pPr>
        <w:snapToGrid w:val="0"/>
        <w:spacing w:line="360" w:lineRule="auto"/>
        <w:jc w:val="left"/>
        <w:rPr>
          <w:rFonts w:hint="eastAsia" w:ascii="宋体" w:hAnsi="宋体" w:eastAsia="宋体" w:cs="宋体"/>
          <w:highlight w:val="none"/>
        </w:rPr>
      </w:pPr>
      <w:r>
        <w:rPr>
          <w:rFonts w:hint="eastAsia" w:ascii="宋体" w:hAnsi="宋体" w:eastAsia="宋体" w:cs="宋体"/>
          <w:highlight w:val="none"/>
        </w:rPr>
        <w:t>2.1招标管理小组向有意参与竞标的企业以电子邮件方式发送</w:t>
      </w:r>
      <w:r>
        <w:rPr>
          <w:rFonts w:hint="eastAsia" w:ascii="宋体" w:hAnsi="宋体" w:eastAsia="宋体" w:cs="宋体"/>
          <w:highlight w:val="none"/>
          <w:lang w:val="en-US" w:eastAsia="zh-CN"/>
        </w:rPr>
        <w:t>竞争性谈判</w:t>
      </w:r>
      <w:r>
        <w:rPr>
          <w:rFonts w:hint="eastAsia" w:ascii="宋体" w:hAnsi="宋体" w:eastAsia="宋体" w:cs="宋体"/>
          <w:highlight w:val="none"/>
        </w:rPr>
        <w:t>文件；</w:t>
      </w:r>
    </w:p>
    <w:p w14:paraId="1F06FDBF">
      <w:pPr>
        <w:snapToGrid w:val="0"/>
        <w:spacing w:line="360" w:lineRule="auto"/>
        <w:jc w:val="left"/>
        <w:rPr>
          <w:rFonts w:hint="eastAsia" w:ascii="宋体" w:hAnsi="宋体" w:eastAsia="宋体" w:cs="宋体"/>
          <w:highlight w:val="none"/>
        </w:rPr>
      </w:pPr>
      <w:r>
        <w:rPr>
          <w:rFonts w:hint="eastAsia" w:ascii="宋体" w:hAnsi="宋体" w:eastAsia="宋体" w:cs="宋体"/>
          <w:highlight w:val="none"/>
        </w:rPr>
        <w:t>2.2竞标企业编制竞标文件，并采用将标书直接带至招标现场</w:t>
      </w:r>
      <w:r>
        <w:rPr>
          <w:rFonts w:hint="eastAsia" w:ascii="宋体" w:hAnsi="宋体" w:eastAsia="宋体" w:cs="宋体"/>
          <w:highlight w:val="none"/>
          <w:lang w:val="en-US" w:eastAsia="zh-CN"/>
        </w:rPr>
        <w:t>的方式送达竞标文件</w:t>
      </w:r>
      <w:r>
        <w:rPr>
          <w:rFonts w:hint="eastAsia" w:ascii="宋体" w:hAnsi="宋体" w:eastAsia="宋体" w:cs="宋体"/>
          <w:highlight w:val="none"/>
        </w:rPr>
        <w:t>；</w:t>
      </w:r>
    </w:p>
    <w:p w14:paraId="2338C7EB">
      <w:pPr>
        <w:snapToGrid w:val="0"/>
        <w:spacing w:line="360" w:lineRule="auto"/>
        <w:jc w:val="left"/>
        <w:rPr>
          <w:rFonts w:hint="eastAsia" w:ascii="宋体" w:hAnsi="宋体" w:eastAsia="宋体" w:cs="宋体"/>
          <w:highlight w:val="none"/>
        </w:rPr>
      </w:pPr>
      <w:r>
        <w:rPr>
          <w:rFonts w:hint="eastAsia" w:ascii="宋体" w:hAnsi="宋体" w:eastAsia="宋体" w:cs="宋体"/>
          <w:highlight w:val="none"/>
        </w:rPr>
        <w:t>2.3招标管理小组组织开标和评标，确定中标候选单位并最终确定中标单位；</w:t>
      </w:r>
    </w:p>
    <w:p w14:paraId="080F231F">
      <w:pPr>
        <w:snapToGrid w:val="0"/>
        <w:spacing w:line="360" w:lineRule="auto"/>
        <w:jc w:val="left"/>
        <w:outlineLvl w:val="2"/>
        <w:rPr>
          <w:rFonts w:hint="eastAsia" w:ascii="宋体" w:hAnsi="宋体" w:eastAsia="宋体" w:cs="宋体"/>
          <w:highlight w:val="none"/>
        </w:rPr>
      </w:pPr>
      <w:r>
        <w:rPr>
          <w:rFonts w:hint="eastAsia" w:ascii="宋体" w:hAnsi="宋体" w:eastAsia="宋体" w:cs="宋体"/>
          <w:highlight w:val="none"/>
        </w:rPr>
        <w:t>2.4与中标单位签订项目合同。</w:t>
      </w:r>
    </w:p>
    <w:p w14:paraId="1BE825BF">
      <w:pPr>
        <w:snapToGrid w:val="0"/>
        <w:spacing w:line="360" w:lineRule="auto"/>
        <w:jc w:val="left"/>
        <w:outlineLvl w:val="1"/>
        <w:rPr>
          <w:rFonts w:hint="eastAsia" w:ascii="宋体" w:hAnsi="宋体" w:eastAsia="宋体" w:cs="宋体"/>
          <w:b/>
          <w:bCs/>
          <w:highlight w:val="none"/>
        </w:rPr>
      </w:pPr>
      <w:r>
        <w:rPr>
          <w:rFonts w:hint="eastAsia" w:ascii="宋体" w:hAnsi="宋体" w:eastAsia="宋体" w:cs="宋体"/>
          <w:b/>
          <w:bCs/>
          <w:color w:val="auto"/>
          <w:highlight w:val="none"/>
          <w:lang w:val="en-US" w:eastAsia="zh-CN"/>
        </w:rPr>
        <w:t>*</w:t>
      </w:r>
      <w:r>
        <w:rPr>
          <w:rFonts w:hint="eastAsia" w:ascii="宋体" w:hAnsi="宋体" w:eastAsia="宋体" w:cs="宋体"/>
          <w:b/>
          <w:bCs/>
          <w:highlight w:val="none"/>
        </w:rPr>
        <w:t>3、招标范围</w:t>
      </w:r>
    </w:p>
    <w:p w14:paraId="4610AD4A">
      <w:pPr>
        <w:snapToGrid w:val="0"/>
        <w:spacing w:line="360" w:lineRule="auto"/>
        <w:jc w:val="left"/>
        <w:outlineLvl w:val="2"/>
        <w:rPr>
          <w:rFonts w:hint="eastAsia" w:ascii="宋体" w:hAnsi="宋体" w:eastAsia="宋体" w:cs="宋体"/>
          <w:highlight w:val="none"/>
        </w:rPr>
      </w:pPr>
      <w:r>
        <w:rPr>
          <w:rFonts w:hint="eastAsia" w:ascii="宋体" w:hAnsi="宋体" w:eastAsia="宋体" w:cs="宋体"/>
          <w:highlight w:val="none"/>
        </w:rPr>
        <w:t>3.1详见招标文件</w:t>
      </w:r>
      <w:r>
        <w:rPr>
          <w:rFonts w:hint="eastAsia" w:ascii="宋体" w:hAnsi="宋体" w:eastAsia="宋体" w:cs="宋体"/>
          <w:b/>
          <w:bCs/>
          <w:highlight w:val="none"/>
        </w:rPr>
        <w:t>附件9</w:t>
      </w:r>
      <w:r>
        <w:rPr>
          <w:rFonts w:hint="eastAsia" w:ascii="宋体" w:hAnsi="宋体" w:eastAsia="宋体" w:cs="宋体"/>
          <w:highlight w:val="none"/>
        </w:rPr>
        <w:t>《招标采购技术要求规范》。</w:t>
      </w:r>
    </w:p>
    <w:p w14:paraId="655344B3">
      <w:pPr>
        <w:snapToGrid w:val="0"/>
        <w:spacing w:line="360" w:lineRule="auto"/>
        <w:jc w:val="left"/>
        <w:rPr>
          <w:rFonts w:hint="eastAsia" w:ascii="宋体" w:hAnsi="宋体" w:eastAsia="宋体" w:cs="宋体"/>
          <w:highlight w:val="none"/>
        </w:rPr>
      </w:pPr>
      <w:r>
        <w:rPr>
          <w:rFonts w:hint="eastAsia" w:ascii="宋体" w:hAnsi="宋体" w:eastAsia="宋体" w:cs="宋体"/>
          <w:highlight w:val="none"/>
        </w:rPr>
        <w:t>3.2本次竞标报价后根据技术</w:t>
      </w:r>
      <w:r>
        <w:rPr>
          <w:rFonts w:hint="eastAsia" w:ascii="宋体" w:hAnsi="宋体" w:eastAsia="宋体" w:cs="宋体"/>
          <w:highlight w:val="none"/>
          <w:lang w:val="en-US" w:eastAsia="zh-CN"/>
        </w:rPr>
        <w:t>及商务</w:t>
      </w:r>
      <w:r>
        <w:rPr>
          <w:rFonts w:hint="eastAsia" w:ascii="宋体" w:hAnsi="宋体" w:eastAsia="宋体" w:cs="宋体"/>
          <w:highlight w:val="none"/>
        </w:rPr>
        <w:t>评审情况，不排除各竞标单位进行二次竞标</w:t>
      </w:r>
      <w:r>
        <w:rPr>
          <w:rFonts w:hint="eastAsia" w:ascii="宋体" w:hAnsi="宋体" w:eastAsia="宋体" w:cs="宋体"/>
          <w:highlight w:val="none"/>
          <w:lang w:val="en-US" w:eastAsia="zh-CN"/>
        </w:rPr>
        <w:t>或议价</w:t>
      </w:r>
      <w:r>
        <w:rPr>
          <w:rFonts w:hint="eastAsia" w:ascii="宋体" w:hAnsi="宋体" w:eastAsia="宋体" w:cs="宋体"/>
          <w:highlight w:val="none"/>
        </w:rPr>
        <w:t>的安排。</w:t>
      </w:r>
    </w:p>
    <w:p w14:paraId="7BB8C5EF">
      <w:pPr>
        <w:snapToGrid w:val="0"/>
        <w:spacing w:line="360" w:lineRule="auto"/>
        <w:jc w:val="left"/>
        <w:outlineLvl w:val="1"/>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4、投标时间</w:t>
      </w:r>
    </w:p>
    <w:p w14:paraId="4ED897B5">
      <w:pPr>
        <w:snapToGrid w:val="0"/>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4.1</w:t>
      </w:r>
      <w:r>
        <w:rPr>
          <w:rFonts w:hint="eastAsia" w:ascii="宋体" w:hAnsi="宋体" w:eastAsia="宋体" w:cs="宋体"/>
          <w:highlight w:val="none"/>
        </w:rPr>
        <w:t>本次竞标截止时间：请于20</w:t>
      </w:r>
      <w:r>
        <w:rPr>
          <w:rFonts w:hint="eastAsia" w:ascii="宋体" w:hAnsi="宋体" w:eastAsia="宋体" w:cs="宋体"/>
          <w:highlight w:val="none"/>
          <w:lang w:val="en-US" w:eastAsia="zh-CN"/>
        </w:rPr>
        <w:t>25</w:t>
      </w:r>
      <w:r>
        <w:rPr>
          <w:rFonts w:hint="eastAsia" w:ascii="宋体" w:hAnsi="宋体" w:eastAsia="宋体" w:cs="宋体"/>
          <w:highlight w:val="none"/>
        </w:rPr>
        <w:t>年</w:t>
      </w:r>
      <w:r>
        <w:rPr>
          <w:rFonts w:hint="eastAsia" w:ascii="宋体" w:hAnsi="宋体" w:eastAsia="宋体" w:cs="宋体"/>
          <w:highlight w:val="none"/>
          <w:lang w:val="en-US" w:eastAsia="zh-CN"/>
        </w:rPr>
        <w:t>11</w:t>
      </w:r>
      <w:r>
        <w:rPr>
          <w:rFonts w:hint="eastAsia" w:ascii="宋体" w:hAnsi="宋体" w:eastAsia="宋体" w:cs="宋体"/>
          <w:highlight w:val="none"/>
        </w:rPr>
        <w:t>月</w:t>
      </w:r>
      <w:r>
        <w:rPr>
          <w:rFonts w:hint="eastAsia" w:ascii="宋体" w:hAnsi="宋体" w:eastAsia="宋体" w:cs="宋体"/>
          <w:highlight w:val="none"/>
          <w:lang w:val="en-US" w:eastAsia="zh-CN"/>
        </w:rPr>
        <w:t>7</w:t>
      </w:r>
      <w:r>
        <w:rPr>
          <w:rFonts w:hint="eastAsia" w:ascii="宋体" w:hAnsi="宋体" w:eastAsia="宋体" w:cs="宋体"/>
          <w:highlight w:val="none"/>
        </w:rPr>
        <w:t>日</w:t>
      </w:r>
      <w:r>
        <w:rPr>
          <w:rFonts w:hint="eastAsia" w:ascii="宋体" w:hAnsi="宋体" w:eastAsia="宋体" w:cs="宋体"/>
          <w:highlight w:val="none"/>
          <w:lang w:val="en-US" w:eastAsia="zh-CN"/>
        </w:rPr>
        <w:t>9点00分前</w:t>
      </w:r>
      <w:r>
        <w:rPr>
          <w:rFonts w:hint="eastAsia" w:ascii="宋体" w:hAnsi="宋体" w:eastAsia="宋体" w:cs="宋体"/>
          <w:highlight w:val="none"/>
        </w:rPr>
        <w:t>（北京时间）前将竞标文件亲自送达至商务联系人处，逾期恕不接纳。</w:t>
      </w:r>
    </w:p>
    <w:p w14:paraId="78D8B8E1">
      <w:pPr>
        <w:snapToGrid/>
        <w:spacing w:line="360" w:lineRule="auto"/>
        <w:jc w:val="left"/>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4.2 送达地址：【</w:t>
      </w:r>
      <w:r>
        <w:rPr>
          <w:rFonts w:hint="eastAsia" w:ascii="宋体" w:hAnsi="宋体" w:eastAsia="宋体" w:cs="宋体"/>
          <w:highlight w:val="none"/>
        </w:rPr>
        <w:t>四川省</w:t>
      </w:r>
      <w:r>
        <w:rPr>
          <w:rFonts w:hint="eastAsia" w:ascii="宋体" w:hAnsi="宋体" w:eastAsia="宋体" w:cs="宋体"/>
          <w:highlight w:val="none"/>
          <w:lang w:val="en-US" w:eastAsia="zh-CN"/>
        </w:rPr>
        <w:t>眉山市丹棱县眉山琏升光伏科技有限公司行政楼2楼招采部 杨超 13408453319】</w:t>
      </w:r>
    </w:p>
    <w:p w14:paraId="1EBAFC0D">
      <w:pPr>
        <w:spacing w:line="360" w:lineRule="auto"/>
        <w:outlineLvl w:val="1"/>
        <w:rPr>
          <w:rFonts w:hint="eastAsia" w:ascii="宋体" w:hAnsi="宋体" w:eastAsia="宋体" w:cs="宋体"/>
          <w:b/>
          <w:bCs/>
          <w:highlight w:val="none"/>
        </w:rPr>
      </w:pPr>
      <w:r>
        <w:rPr>
          <w:rFonts w:hint="eastAsia" w:ascii="宋体" w:hAnsi="宋体" w:eastAsia="宋体" w:cs="宋体"/>
          <w:b/>
          <w:bCs/>
          <w:highlight w:val="none"/>
        </w:rPr>
        <w:t>5、开、评标时间及地点</w:t>
      </w:r>
    </w:p>
    <w:p w14:paraId="425C0D44">
      <w:pPr>
        <w:spacing w:line="360" w:lineRule="auto"/>
        <w:rPr>
          <w:rFonts w:hint="eastAsia" w:ascii="宋体" w:hAnsi="宋体" w:eastAsia="宋体" w:cs="宋体"/>
          <w:highlight w:val="none"/>
        </w:rPr>
      </w:pPr>
      <w:r>
        <w:rPr>
          <w:rFonts w:hint="eastAsia" w:ascii="宋体" w:hAnsi="宋体" w:eastAsia="宋体" w:cs="宋体"/>
          <w:highlight w:val="none"/>
          <w:lang w:val="en-US" w:eastAsia="zh-CN"/>
        </w:rPr>
        <w:t>5.1</w:t>
      </w:r>
      <w:r>
        <w:rPr>
          <w:rFonts w:hint="eastAsia" w:ascii="宋体" w:hAnsi="宋体" w:eastAsia="宋体" w:cs="宋体"/>
          <w:highlight w:val="none"/>
        </w:rPr>
        <w:t>开标时间为20</w:t>
      </w:r>
      <w:r>
        <w:rPr>
          <w:rFonts w:hint="eastAsia" w:ascii="宋体" w:hAnsi="宋体" w:eastAsia="宋体" w:cs="宋体"/>
          <w:highlight w:val="none"/>
          <w:lang w:val="en-US" w:eastAsia="zh-CN"/>
        </w:rPr>
        <w:t>25</w:t>
      </w:r>
      <w:r>
        <w:rPr>
          <w:rFonts w:hint="eastAsia" w:ascii="宋体" w:hAnsi="宋体" w:eastAsia="宋体" w:cs="宋体"/>
          <w:highlight w:val="none"/>
        </w:rPr>
        <w:t>年</w:t>
      </w:r>
      <w:r>
        <w:rPr>
          <w:rFonts w:hint="eastAsia" w:ascii="宋体" w:hAnsi="宋体" w:eastAsia="宋体" w:cs="宋体"/>
          <w:highlight w:val="none"/>
          <w:lang w:val="en-US" w:eastAsia="zh-CN"/>
        </w:rPr>
        <w:t>11</w:t>
      </w:r>
      <w:r>
        <w:rPr>
          <w:rFonts w:hint="eastAsia" w:ascii="宋体" w:hAnsi="宋体" w:eastAsia="宋体" w:cs="宋体"/>
          <w:highlight w:val="none"/>
        </w:rPr>
        <w:t>月</w:t>
      </w:r>
      <w:r>
        <w:rPr>
          <w:rFonts w:hint="eastAsia" w:ascii="宋体" w:hAnsi="宋体" w:eastAsia="宋体" w:cs="宋体"/>
          <w:highlight w:val="none"/>
          <w:lang w:val="en-US" w:eastAsia="zh-CN"/>
        </w:rPr>
        <w:t>7</w:t>
      </w:r>
      <w:r>
        <w:rPr>
          <w:rFonts w:hint="eastAsia" w:ascii="宋体" w:hAnsi="宋体" w:eastAsia="宋体" w:cs="宋体"/>
          <w:highlight w:val="none"/>
        </w:rPr>
        <w:t>日</w:t>
      </w:r>
      <w:r>
        <w:rPr>
          <w:rFonts w:hint="eastAsia" w:ascii="宋体" w:hAnsi="宋体" w:eastAsia="宋体" w:cs="宋体"/>
          <w:highlight w:val="none"/>
          <w:lang w:val="en-US" w:eastAsia="zh-CN"/>
        </w:rPr>
        <w:t>9点00</w:t>
      </w:r>
      <w:r>
        <w:rPr>
          <w:rFonts w:hint="eastAsia" w:ascii="宋体" w:hAnsi="宋体" w:eastAsia="宋体" w:cs="宋体"/>
          <w:highlight w:val="none"/>
        </w:rPr>
        <w:t>分，评标时间为20</w:t>
      </w:r>
      <w:r>
        <w:rPr>
          <w:rFonts w:hint="eastAsia" w:ascii="宋体" w:hAnsi="宋体" w:eastAsia="宋体" w:cs="宋体"/>
          <w:highlight w:val="none"/>
          <w:lang w:val="en-US" w:eastAsia="zh-CN"/>
        </w:rPr>
        <w:t>25</w:t>
      </w:r>
      <w:r>
        <w:rPr>
          <w:rFonts w:hint="eastAsia" w:ascii="宋体" w:hAnsi="宋体" w:eastAsia="宋体" w:cs="宋体"/>
          <w:highlight w:val="none"/>
        </w:rPr>
        <w:t>年</w:t>
      </w:r>
      <w:r>
        <w:rPr>
          <w:rFonts w:hint="eastAsia" w:ascii="宋体" w:hAnsi="宋体" w:eastAsia="宋体" w:cs="宋体"/>
          <w:highlight w:val="none"/>
          <w:lang w:val="en-US" w:eastAsia="zh-CN"/>
        </w:rPr>
        <w:t>11</w:t>
      </w:r>
      <w:r>
        <w:rPr>
          <w:rFonts w:hint="eastAsia" w:ascii="宋体" w:hAnsi="宋体" w:eastAsia="宋体" w:cs="宋体"/>
          <w:highlight w:val="none"/>
        </w:rPr>
        <w:t>月</w:t>
      </w:r>
      <w:r>
        <w:rPr>
          <w:rFonts w:hint="eastAsia" w:ascii="宋体" w:hAnsi="宋体" w:eastAsia="宋体" w:cs="宋体"/>
          <w:highlight w:val="none"/>
          <w:lang w:val="en-US" w:eastAsia="zh-CN"/>
        </w:rPr>
        <w:t>7</w:t>
      </w:r>
      <w:r>
        <w:rPr>
          <w:rFonts w:hint="eastAsia" w:ascii="宋体" w:hAnsi="宋体" w:eastAsia="宋体" w:cs="宋体"/>
          <w:highlight w:val="none"/>
        </w:rPr>
        <w:t>日。</w:t>
      </w:r>
    </w:p>
    <w:p w14:paraId="7172D739">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5.2开、评标地点：</w:t>
      </w:r>
      <w:r>
        <w:rPr>
          <w:rFonts w:hint="eastAsia" w:ascii="宋体" w:hAnsi="宋体" w:eastAsia="宋体" w:cs="宋体"/>
          <w:highlight w:val="none"/>
        </w:rPr>
        <w:t>四川省</w:t>
      </w:r>
      <w:r>
        <w:rPr>
          <w:rFonts w:hint="eastAsia" w:ascii="宋体" w:hAnsi="宋体" w:eastAsia="宋体" w:cs="宋体"/>
          <w:highlight w:val="none"/>
          <w:lang w:val="en-US" w:eastAsia="zh-CN"/>
        </w:rPr>
        <w:t>眉山市丹棱县眉山琏升光伏科技有限公司行政楼2楼</w:t>
      </w:r>
    </w:p>
    <w:p w14:paraId="2841F63D">
      <w:pPr>
        <w:snapToGrid w:val="0"/>
        <w:spacing w:line="360" w:lineRule="auto"/>
        <w:jc w:val="left"/>
        <w:outlineLvl w:val="1"/>
        <w:rPr>
          <w:rFonts w:hint="eastAsia" w:ascii="宋体" w:hAnsi="宋体" w:eastAsia="宋体" w:cs="宋体"/>
          <w:highlight w:val="none"/>
        </w:rPr>
      </w:pPr>
      <w:r>
        <w:rPr>
          <w:rFonts w:hint="eastAsia" w:ascii="宋体" w:hAnsi="宋体" w:eastAsia="宋体" w:cs="宋体"/>
          <w:b/>
          <w:bCs/>
          <w:highlight w:val="none"/>
        </w:rPr>
        <w:t>6、联系方式</w:t>
      </w:r>
    </w:p>
    <w:p w14:paraId="6DEED5B5">
      <w:pPr>
        <w:snapToGrid w:val="0"/>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技术联系人及</w:t>
      </w:r>
      <w:r>
        <w:rPr>
          <w:rFonts w:hint="eastAsia" w:ascii="宋体" w:hAnsi="宋体" w:eastAsia="宋体" w:cs="宋体"/>
          <w:highlight w:val="none"/>
        </w:rPr>
        <w:t>联系方式：</w:t>
      </w:r>
      <w:r>
        <w:rPr>
          <w:rFonts w:hint="eastAsia" w:ascii="宋体" w:hAnsi="宋体" w:eastAsia="宋体" w:cs="宋体"/>
          <w:highlight w:val="none"/>
          <w:lang w:val="en-US" w:eastAsia="zh-CN"/>
        </w:rPr>
        <w:t>徐剑平</w:t>
      </w:r>
      <w:r>
        <w:rPr>
          <w:rFonts w:hint="eastAsia" w:ascii="宋体" w:hAnsi="宋体" w:eastAsia="宋体" w:cs="宋体"/>
          <w:highlight w:val="none"/>
        </w:rPr>
        <w:tab/>
      </w:r>
      <w:r>
        <w:rPr>
          <w:rFonts w:hint="eastAsia" w:ascii="宋体" w:hAnsi="宋体" w:eastAsia="宋体" w:cs="宋体"/>
          <w:highlight w:val="none"/>
          <w:lang w:val="en-US" w:eastAsia="zh-CN"/>
        </w:rPr>
        <w:t xml:space="preserve">    </w:t>
      </w:r>
      <w:r>
        <w:rPr>
          <w:rFonts w:hint="eastAsia" w:ascii="宋体" w:hAnsi="宋体" w:eastAsia="宋体" w:cs="宋体"/>
          <w:highlight w:val="none"/>
        </w:rPr>
        <w:t>13381150619</w:t>
      </w:r>
      <w:r>
        <w:rPr>
          <w:rFonts w:hint="eastAsia" w:ascii="宋体" w:hAnsi="宋体" w:eastAsia="宋体" w:cs="宋体"/>
          <w:highlight w:val="none"/>
          <w:lang w:val="en-US" w:eastAsia="zh-CN"/>
        </w:rPr>
        <w:t xml:space="preserve">     </w:t>
      </w:r>
      <w:r>
        <w:rPr>
          <w:rFonts w:hint="eastAsia" w:ascii="宋体" w:hAnsi="宋体" w:eastAsia="宋体" w:cs="宋体"/>
          <w:highlight w:val="none"/>
        </w:rPr>
        <w:t>xujp@leascend.com；</w:t>
      </w:r>
    </w:p>
    <w:p w14:paraId="3205E9F5">
      <w:pPr>
        <w:snapToGrid w:val="0"/>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商务联系人及</w:t>
      </w:r>
      <w:r>
        <w:rPr>
          <w:rFonts w:hint="eastAsia" w:ascii="宋体" w:hAnsi="宋体" w:eastAsia="宋体" w:cs="宋体"/>
          <w:highlight w:val="none"/>
        </w:rPr>
        <w:t>联系方式：</w:t>
      </w:r>
      <w:r>
        <w:rPr>
          <w:rFonts w:hint="eastAsia" w:ascii="宋体" w:hAnsi="宋体" w:eastAsia="宋体" w:cs="宋体"/>
          <w:highlight w:val="none"/>
          <w:lang w:val="en-US" w:eastAsia="zh-CN"/>
        </w:rPr>
        <w:t>杨  超</w:t>
      </w:r>
      <w:r>
        <w:rPr>
          <w:rFonts w:hint="eastAsia" w:ascii="宋体" w:hAnsi="宋体" w:eastAsia="宋体" w:cs="宋体"/>
          <w:highlight w:val="none"/>
        </w:rPr>
        <w:tab/>
      </w:r>
      <w:r>
        <w:rPr>
          <w:rFonts w:hint="eastAsia" w:ascii="宋体" w:hAnsi="宋体" w:eastAsia="宋体" w:cs="宋体"/>
          <w:highlight w:val="none"/>
        </w:rPr>
        <w:tab/>
      </w:r>
      <w:r>
        <w:rPr>
          <w:rFonts w:hint="eastAsia" w:ascii="宋体" w:hAnsi="宋体" w:eastAsia="宋体" w:cs="宋体"/>
          <w:highlight w:val="none"/>
          <w:lang w:val="en-US" w:eastAsia="zh-CN"/>
        </w:rPr>
        <w:t>13408453319      yangch@Leascend.com</w:t>
      </w:r>
      <w:r>
        <w:rPr>
          <w:rFonts w:hint="eastAsia" w:ascii="宋体" w:hAnsi="宋体" w:eastAsia="宋体" w:cs="宋体"/>
          <w:highlight w:val="none"/>
        </w:rPr>
        <w:t>；</w:t>
      </w:r>
    </w:p>
    <w:p w14:paraId="46A50AA3">
      <w:pPr>
        <w:widowControl/>
        <w:jc w:val="left"/>
        <w:rPr>
          <w:rFonts w:hint="eastAsia" w:ascii="宋体" w:hAnsi="宋体" w:eastAsia="宋体" w:cs="宋体"/>
          <w:sz w:val="22"/>
          <w:szCs w:val="24"/>
          <w:highlight w:val="none"/>
        </w:rPr>
      </w:pPr>
      <w:r>
        <w:rPr>
          <w:rFonts w:hint="eastAsia" w:ascii="宋体" w:hAnsi="宋体" w:eastAsia="宋体" w:cs="宋体"/>
          <w:sz w:val="22"/>
          <w:szCs w:val="24"/>
          <w:highlight w:val="none"/>
        </w:rPr>
        <w:br w:type="page"/>
      </w:r>
    </w:p>
    <w:bookmarkEnd w:id="5"/>
    <w:p w14:paraId="0E6E193B">
      <w:pPr>
        <w:pStyle w:val="28"/>
        <w:numPr>
          <w:ilvl w:val="0"/>
          <w:numId w:val="1"/>
        </w:numPr>
        <w:snapToGrid w:val="0"/>
        <w:ind w:firstLineChars="0"/>
        <w:jc w:val="center"/>
        <w:outlineLvl w:val="0"/>
        <w:rPr>
          <w:rFonts w:hint="eastAsia" w:ascii="宋体" w:hAnsi="宋体" w:eastAsia="宋体" w:cs="宋体"/>
          <w:b/>
          <w:bCs/>
          <w:sz w:val="32"/>
          <w:szCs w:val="32"/>
          <w:highlight w:val="none"/>
        </w:rPr>
      </w:pPr>
      <w:bookmarkStart w:id="6" w:name="_Toc115362484"/>
      <w:bookmarkStart w:id="7" w:name="_Toc115362800"/>
      <w:bookmarkStart w:id="8" w:name="_Toc115424826"/>
      <w:bookmarkStart w:id="9" w:name="_Toc115362581"/>
      <w:bookmarkStart w:id="10" w:name="_Hlk115359833"/>
      <w:r>
        <w:rPr>
          <w:rFonts w:hint="eastAsia" w:ascii="宋体" w:hAnsi="宋体" w:eastAsia="宋体" w:cs="宋体"/>
          <w:b/>
          <w:bCs/>
          <w:sz w:val="32"/>
          <w:szCs w:val="32"/>
          <w:highlight w:val="none"/>
        </w:rPr>
        <w:t>竞标前须知</w:t>
      </w:r>
      <w:bookmarkEnd w:id="6"/>
      <w:bookmarkEnd w:id="7"/>
      <w:bookmarkEnd w:id="8"/>
      <w:bookmarkEnd w:id="9"/>
      <w:bookmarkEnd w:id="10"/>
    </w:p>
    <w:p w14:paraId="618738C3">
      <w:pPr>
        <w:pStyle w:val="30"/>
        <w:snapToGrid w:val="0"/>
        <w:ind w:firstLine="0" w:firstLineChars="0"/>
        <w:rPr>
          <w:rFonts w:hint="eastAsia" w:ascii="宋体" w:hAnsi="宋体" w:eastAsia="宋体" w:cs="宋体"/>
          <w:highlight w:val="none"/>
        </w:rPr>
      </w:pPr>
      <w:r>
        <w:rPr>
          <w:rFonts w:hint="eastAsia" w:ascii="宋体" w:hAnsi="宋体" w:eastAsia="宋体" w:cs="宋体"/>
          <w:highlight w:val="none"/>
        </w:rPr>
        <w:t>1、竞标人须知附表</w:t>
      </w:r>
    </w:p>
    <w:tbl>
      <w:tblPr>
        <w:tblStyle w:val="20"/>
        <w:tblW w:w="9923" w:type="dxa"/>
        <w:tblInd w:w="-147" w:type="dxa"/>
        <w:tblLayout w:type="autofit"/>
        <w:tblCellMar>
          <w:top w:w="0" w:type="dxa"/>
          <w:left w:w="108" w:type="dxa"/>
          <w:bottom w:w="0" w:type="dxa"/>
          <w:right w:w="108" w:type="dxa"/>
        </w:tblCellMar>
      </w:tblPr>
      <w:tblGrid>
        <w:gridCol w:w="851"/>
        <w:gridCol w:w="1276"/>
        <w:gridCol w:w="7796"/>
      </w:tblGrid>
      <w:tr w14:paraId="784E4D51">
        <w:tblPrEx>
          <w:tblCellMar>
            <w:top w:w="0" w:type="dxa"/>
            <w:left w:w="108" w:type="dxa"/>
            <w:bottom w:w="0" w:type="dxa"/>
            <w:right w:w="108" w:type="dxa"/>
          </w:tblCellMar>
        </w:tblPrEx>
        <w:trPr>
          <w:trHeight w:val="548"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F9E1036">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条款号</w:t>
            </w:r>
          </w:p>
        </w:tc>
        <w:tc>
          <w:tcPr>
            <w:tcW w:w="1276" w:type="dxa"/>
            <w:tcBorders>
              <w:top w:val="single" w:color="auto" w:sz="4" w:space="0"/>
              <w:left w:val="nil"/>
              <w:bottom w:val="single" w:color="auto" w:sz="4" w:space="0"/>
              <w:right w:val="single" w:color="auto" w:sz="4" w:space="0"/>
            </w:tcBorders>
            <w:shd w:val="clear" w:color="auto" w:fill="auto"/>
            <w:vAlign w:val="center"/>
          </w:tcPr>
          <w:p w14:paraId="580B9E9D">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条款名称</w:t>
            </w:r>
          </w:p>
        </w:tc>
        <w:tc>
          <w:tcPr>
            <w:tcW w:w="7796" w:type="dxa"/>
            <w:tcBorders>
              <w:top w:val="single" w:color="auto" w:sz="4" w:space="0"/>
              <w:left w:val="nil"/>
              <w:bottom w:val="single" w:color="auto" w:sz="4" w:space="0"/>
              <w:right w:val="single" w:color="auto" w:sz="4" w:space="0"/>
            </w:tcBorders>
            <w:shd w:val="clear" w:color="auto" w:fill="auto"/>
            <w:vAlign w:val="center"/>
          </w:tcPr>
          <w:p w14:paraId="7445A12A">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编列内容</w:t>
            </w:r>
          </w:p>
        </w:tc>
      </w:tr>
      <w:tr w14:paraId="3FD20D2C">
        <w:tblPrEx>
          <w:tblCellMar>
            <w:top w:w="0" w:type="dxa"/>
            <w:left w:w="108" w:type="dxa"/>
            <w:bottom w:w="0" w:type="dxa"/>
            <w:right w:w="108" w:type="dxa"/>
          </w:tblCellMar>
        </w:tblPrEx>
        <w:trPr>
          <w:trHeight w:val="39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D5ED485">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1276" w:type="dxa"/>
            <w:tcBorders>
              <w:top w:val="nil"/>
              <w:left w:val="nil"/>
              <w:bottom w:val="single" w:color="auto" w:sz="4" w:space="0"/>
              <w:right w:val="single" w:color="auto" w:sz="4" w:space="0"/>
            </w:tcBorders>
            <w:shd w:val="clear" w:color="auto" w:fill="auto"/>
            <w:vAlign w:val="center"/>
          </w:tcPr>
          <w:p w14:paraId="5D6E8117">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w:t>
            </w:r>
          </w:p>
        </w:tc>
        <w:tc>
          <w:tcPr>
            <w:tcW w:w="7796" w:type="dxa"/>
            <w:tcBorders>
              <w:top w:val="nil"/>
              <w:left w:val="nil"/>
              <w:bottom w:val="single" w:color="auto" w:sz="4" w:space="0"/>
              <w:right w:val="single" w:color="auto" w:sz="4" w:space="0"/>
            </w:tcBorders>
            <w:shd w:val="clear" w:color="auto" w:fill="auto"/>
            <w:vAlign w:val="center"/>
          </w:tcPr>
          <w:p w14:paraId="7D04EA5E">
            <w:pPr>
              <w:snapToGrid w:val="0"/>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眉山琏升光伏科技有限公司</w:t>
            </w:r>
          </w:p>
        </w:tc>
      </w:tr>
      <w:tr w14:paraId="3EBC776E">
        <w:tblPrEx>
          <w:tblCellMar>
            <w:top w:w="0" w:type="dxa"/>
            <w:left w:w="108" w:type="dxa"/>
            <w:bottom w:w="0" w:type="dxa"/>
            <w:right w:w="108" w:type="dxa"/>
          </w:tblCellMar>
        </w:tblPrEx>
        <w:trPr>
          <w:trHeight w:val="85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61DD683">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1276" w:type="dxa"/>
            <w:tcBorders>
              <w:top w:val="nil"/>
              <w:left w:val="nil"/>
              <w:bottom w:val="single" w:color="auto" w:sz="4" w:space="0"/>
              <w:right w:val="single" w:color="auto" w:sz="4" w:space="0"/>
            </w:tcBorders>
            <w:shd w:val="clear" w:color="auto" w:fill="auto"/>
            <w:vAlign w:val="center"/>
          </w:tcPr>
          <w:p w14:paraId="28EF38B0">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项目名称</w:t>
            </w:r>
          </w:p>
        </w:tc>
        <w:tc>
          <w:tcPr>
            <w:tcW w:w="7796" w:type="dxa"/>
            <w:tcBorders>
              <w:top w:val="nil"/>
              <w:left w:val="nil"/>
              <w:bottom w:val="single" w:color="auto" w:sz="4" w:space="0"/>
              <w:right w:val="single" w:color="auto" w:sz="4" w:space="0"/>
            </w:tcBorders>
            <w:shd w:val="clear" w:color="auto" w:fill="auto"/>
            <w:vAlign w:val="center"/>
          </w:tcPr>
          <w:p w14:paraId="16EAA112">
            <w:pPr>
              <w:keepNext w:val="0"/>
              <w:keepLines w:val="0"/>
              <w:widowControl/>
              <w:suppressLineNumbers w:val="0"/>
              <w:jc w:val="left"/>
              <w:rPr>
                <w:rFonts w:hint="default" w:ascii="宋体" w:hAnsi="宋体" w:eastAsia="宋体" w:cs="宋体"/>
                <w:color w:val="000000"/>
                <w:szCs w:val="21"/>
                <w:highlight w:val="none"/>
                <w:lang w:val="en-US"/>
              </w:rPr>
            </w:pPr>
            <w:r>
              <w:rPr>
                <w:rFonts w:hint="eastAsia" w:ascii="宋体" w:hAnsi="宋体" w:eastAsia="宋体" w:cs="宋体"/>
                <w:highlight w:val="none"/>
                <w:lang w:eastAsia="zh-CN"/>
              </w:rPr>
              <w:t>眉山琏升光伏科技有限公司新能源 1GW 高效异质结组件项目</w:t>
            </w:r>
            <w:r>
              <w:rPr>
                <w:rFonts w:hint="eastAsia" w:ascii="宋体" w:hAnsi="宋体" w:eastAsia="宋体" w:cs="宋体"/>
                <w:highlight w:val="none"/>
              </w:rPr>
              <w:t>--</w:t>
            </w:r>
            <w:r>
              <w:rPr>
                <w:rFonts w:hint="eastAsia" w:ascii="宋体" w:hAnsi="宋体" w:eastAsia="宋体" w:cs="宋体"/>
                <w:highlight w:val="none"/>
                <w:lang w:val="en-US" w:eastAsia="zh-CN"/>
              </w:rPr>
              <w:t>无损激光划片机项目</w:t>
            </w:r>
          </w:p>
        </w:tc>
      </w:tr>
      <w:tr w14:paraId="2B9A5C2B">
        <w:tblPrEx>
          <w:tblCellMar>
            <w:top w:w="0" w:type="dxa"/>
            <w:left w:w="108" w:type="dxa"/>
            <w:bottom w:w="0" w:type="dxa"/>
            <w:right w:w="108" w:type="dxa"/>
          </w:tblCellMar>
        </w:tblPrEx>
        <w:trPr>
          <w:trHeight w:val="54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1427650">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1276" w:type="dxa"/>
            <w:tcBorders>
              <w:top w:val="nil"/>
              <w:left w:val="nil"/>
              <w:bottom w:val="single" w:color="auto" w:sz="4" w:space="0"/>
              <w:right w:val="single" w:color="auto" w:sz="4" w:space="0"/>
            </w:tcBorders>
            <w:shd w:val="clear" w:color="auto" w:fill="auto"/>
            <w:vAlign w:val="center"/>
          </w:tcPr>
          <w:p w14:paraId="57B5A7E3">
            <w:pPr>
              <w:snapToGrid w:val="0"/>
              <w:spacing w:line="360" w:lineRule="auto"/>
              <w:jc w:val="left"/>
              <w:rPr>
                <w:rFonts w:hint="eastAsia" w:ascii="宋体" w:hAnsi="宋体" w:eastAsia="宋体" w:cs="宋体"/>
                <w:highlight w:val="none"/>
                <w:lang w:eastAsia="zh-CN"/>
              </w:rPr>
            </w:pPr>
            <w:r>
              <w:rPr>
                <w:rFonts w:hint="eastAsia" w:ascii="宋体" w:hAnsi="宋体" w:eastAsia="宋体" w:cs="宋体"/>
                <w:highlight w:val="none"/>
                <w:lang w:eastAsia="zh-CN"/>
              </w:rPr>
              <w:t>项目数量</w:t>
            </w:r>
          </w:p>
        </w:tc>
        <w:tc>
          <w:tcPr>
            <w:tcW w:w="7796" w:type="dxa"/>
            <w:tcBorders>
              <w:top w:val="nil"/>
              <w:left w:val="nil"/>
              <w:bottom w:val="single" w:color="auto" w:sz="4" w:space="0"/>
              <w:right w:val="single" w:color="auto" w:sz="4" w:space="0"/>
            </w:tcBorders>
            <w:shd w:val="clear" w:color="auto" w:fill="auto"/>
            <w:vAlign w:val="center"/>
          </w:tcPr>
          <w:p w14:paraId="22A91D23">
            <w:pPr>
              <w:keepNext w:val="0"/>
              <w:keepLines w:val="0"/>
              <w:widowControl/>
              <w:suppressLineNumbers w:val="0"/>
              <w:jc w:val="left"/>
              <w:rPr>
                <w:rFonts w:hint="default" w:ascii="宋体" w:hAnsi="宋体" w:eastAsia="宋体" w:cs="宋体"/>
                <w:highlight w:val="none"/>
                <w:lang w:val="en-US" w:eastAsia="zh-CN"/>
              </w:rPr>
            </w:pPr>
            <w:r>
              <w:rPr>
                <w:rFonts w:hint="eastAsia" w:ascii="宋体" w:hAnsi="宋体" w:eastAsia="宋体" w:cs="宋体"/>
                <w:color w:val="000000"/>
                <w:szCs w:val="21"/>
                <w:highlight w:val="none"/>
                <w:lang w:val="en-US" w:eastAsia="zh-CN"/>
              </w:rPr>
              <w:t>满足技术协议产能（技术协议产能：48000pcs/h（以下料计算））</w:t>
            </w:r>
          </w:p>
        </w:tc>
      </w:tr>
      <w:tr w14:paraId="04E43C55">
        <w:tblPrEx>
          <w:tblCellMar>
            <w:top w:w="0" w:type="dxa"/>
            <w:left w:w="108" w:type="dxa"/>
            <w:bottom w:w="0" w:type="dxa"/>
            <w:right w:w="108" w:type="dxa"/>
          </w:tblCellMar>
        </w:tblPrEx>
        <w:trPr>
          <w:trHeight w:val="9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116CC3E">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1276" w:type="dxa"/>
            <w:tcBorders>
              <w:top w:val="nil"/>
              <w:left w:val="nil"/>
              <w:bottom w:val="single" w:color="auto" w:sz="4" w:space="0"/>
              <w:right w:val="single" w:color="auto" w:sz="4" w:space="0"/>
            </w:tcBorders>
            <w:shd w:val="clear" w:color="auto" w:fill="auto"/>
            <w:vAlign w:val="center"/>
          </w:tcPr>
          <w:p w14:paraId="335CE217">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交期&amp;实施周期</w:t>
            </w:r>
          </w:p>
        </w:tc>
        <w:tc>
          <w:tcPr>
            <w:tcW w:w="7796" w:type="dxa"/>
            <w:tcBorders>
              <w:top w:val="nil"/>
              <w:left w:val="nil"/>
              <w:bottom w:val="single" w:color="auto" w:sz="4" w:space="0"/>
              <w:right w:val="single" w:color="auto" w:sz="4" w:space="0"/>
            </w:tcBorders>
            <w:shd w:val="clear" w:color="auto" w:fill="auto"/>
            <w:vAlign w:val="center"/>
          </w:tcPr>
          <w:p w14:paraId="7A93A0A6">
            <w:pPr>
              <w:snapToGrid w:val="0"/>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2025年12月29日前完成全部设备到货并初验合格，7天内出片，15天内实现可量产要求</w:t>
            </w:r>
          </w:p>
        </w:tc>
      </w:tr>
      <w:tr w14:paraId="433B241E">
        <w:tblPrEx>
          <w:tblCellMar>
            <w:top w:w="0" w:type="dxa"/>
            <w:left w:w="108" w:type="dxa"/>
            <w:bottom w:w="0" w:type="dxa"/>
            <w:right w:w="108" w:type="dxa"/>
          </w:tblCellMar>
        </w:tblPrEx>
        <w:trPr>
          <w:trHeight w:val="2057"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3E01007">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w:t>
            </w:r>
          </w:p>
        </w:tc>
        <w:tc>
          <w:tcPr>
            <w:tcW w:w="1276" w:type="dxa"/>
            <w:tcBorders>
              <w:top w:val="nil"/>
              <w:left w:val="nil"/>
              <w:bottom w:val="single" w:color="auto" w:sz="4" w:space="0"/>
              <w:right w:val="single" w:color="auto" w:sz="4" w:space="0"/>
            </w:tcBorders>
            <w:shd w:val="clear" w:color="auto" w:fill="auto"/>
            <w:vAlign w:val="center"/>
          </w:tcPr>
          <w:p w14:paraId="4D2C62E6">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付款方式</w:t>
            </w:r>
          </w:p>
        </w:tc>
        <w:tc>
          <w:tcPr>
            <w:tcW w:w="7796" w:type="dxa"/>
            <w:tcBorders>
              <w:top w:val="nil"/>
              <w:left w:val="nil"/>
              <w:bottom w:val="single" w:color="auto" w:sz="4" w:space="0"/>
              <w:right w:val="single" w:color="auto" w:sz="4" w:space="0"/>
            </w:tcBorders>
            <w:shd w:val="clear" w:color="auto" w:fill="auto"/>
            <w:vAlign w:val="center"/>
          </w:tcPr>
          <w:p w14:paraId="4D0A6436">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val="en-US" w:eastAsia="zh-CN"/>
              </w:rPr>
              <w:t>电汇或</w:t>
            </w:r>
            <w:r>
              <w:rPr>
                <w:rFonts w:hint="eastAsia" w:ascii="宋体" w:hAnsi="宋体" w:eastAsia="宋体" w:cs="宋体"/>
                <w:color w:val="000000"/>
                <w:kern w:val="0"/>
                <w:szCs w:val="21"/>
                <w:highlight w:val="none"/>
              </w:rPr>
              <w:t>银行承兑汇票</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lang w:val="en-US" w:eastAsia="zh-CN"/>
              </w:rPr>
              <w:t>不超过6个月</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szCs w:val="21"/>
                <w:highlight w:val="none"/>
              </w:rPr>
              <w:t>，币别为人民币，合同签订生效且缴纳</w:t>
            </w:r>
            <w:r>
              <w:rPr>
                <w:rFonts w:hint="eastAsia" w:ascii="宋体" w:hAnsi="宋体" w:eastAsia="宋体" w:cs="宋体"/>
                <w:color w:val="000000"/>
                <w:szCs w:val="21"/>
                <w:highlight w:val="none"/>
                <w:lang w:val="en-US" w:eastAsia="zh-CN"/>
              </w:rPr>
              <w:t>10万</w:t>
            </w:r>
            <w:r>
              <w:rPr>
                <w:rFonts w:hint="eastAsia" w:ascii="宋体" w:hAnsi="宋体" w:eastAsia="宋体" w:cs="宋体"/>
                <w:color w:val="000000"/>
                <w:szCs w:val="21"/>
                <w:highlight w:val="none"/>
              </w:rPr>
              <w:t>履约保证金后20%预付款，40%到货款，30%验收款，10%质保金</w:t>
            </w:r>
            <w:r>
              <w:rPr>
                <w:rFonts w:hint="eastAsia" w:ascii="宋体" w:hAnsi="宋体" w:eastAsia="宋体" w:cs="宋体"/>
                <w:color w:val="000000"/>
                <w:szCs w:val="21"/>
                <w:highlight w:val="none"/>
                <w:lang w:val="en-US" w:eastAsia="zh-CN"/>
              </w:rPr>
              <w:t>质量保证期届满且无质量问题后支付</w:t>
            </w:r>
            <w:r>
              <w:rPr>
                <w:rFonts w:hint="eastAsia" w:ascii="宋体" w:hAnsi="宋体" w:eastAsia="宋体" w:cs="宋体"/>
                <w:color w:val="000000"/>
                <w:szCs w:val="21"/>
                <w:highlight w:val="none"/>
              </w:rPr>
              <w:t>；</w:t>
            </w:r>
          </w:p>
          <w:p w14:paraId="6E6A3582">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实际付款方式以招标现场谈判为准，以上付款方式根据招标人需要不排除采用融资租赁方式付款；</w:t>
            </w:r>
          </w:p>
        </w:tc>
      </w:tr>
      <w:tr w14:paraId="695CA4AB">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CEF9DA9">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w:t>
            </w:r>
          </w:p>
        </w:tc>
        <w:tc>
          <w:tcPr>
            <w:tcW w:w="1276" w:type="dxa"/>
            <w:tcBorders>
              <w:top w:val="nil"/>
              <w:left w:val="nil"/>
              <w:bottom w:val="single" w:color="auto" w:sz="4" w:space="0"/>
              <w:right w:val="single" w:color="auto" w:sz="4" w:space="0"/>
            </w:tcBorders>
            <w:shd w:val="clear" w:color="auto" w:fill="auto"/>
            <w:vAlign w:val="center"/>
          </w:tcPr>
          <w:p w14:paraId="5025D886">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竞标有效期</w:t>
            </w:r>
          </w:p>
        </w:tc>
        <w:tc>
          <w:tcPr>
            <w:tcW w:w="7796" w:type="dxa"/>
            <w:tcBorders>
              <w:top w:val="nil"/>
              <w:left w:val="nil"/>
              <w:bottom w:val="single" w:color="auto" w:sz="4" w:space="0"/>
              <w:right w:val="single" w:color="auto" w:sz="4" w:space="0"/>
            </w:tcBorders>
            <w:shd w:val="clear" w:color="auto" w:fill="auto"/>
            <w:vAlign w:val="center"/>
          </w:tcPr>
          <w:p w14:paraId="68894593">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为</w:t>
            </w:r>
            <w:r>
              <w:rPr>
                <w:rFonts w:hint="eastAsia" w:ascii="宋体" w:hAnsi="宋体" w:eastAsia="宋体" w:cs="宋体"/>
                <w:color w:val="000000"/>
                <w:szCs w:val="21"/>
                <w:highlight w:val="none"/>
                <w:lang w:val="en-US" w:eastAsia="zh-CN"/>
              </w:rPr>
              <w:t>90</w:t>
            </w:r>
            <w:r>
              <w:rPr>
                <w:rFonts w:hint="eastAsia" w:ascii="宋体" w:hAnsi="宋体" w:eastAsia="宋体" w:cs="宋体"/>
                <w:color w:val="000000"/>
                <w:szCs w:val="21"/>
                <w:highlight w:val="none"/>
              </w:rPr>
              <w:t>日历天（从竞标截止之日算起）</w:t>
            </w:r>
          </w:p>
        </w:tc>
      </w:tr>
      <w:tr w14:paraId="5F93B67A">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B14FD0E">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w:t>
            </w:r>
          </w:p>
        </w:tc>
        <w:tc>
          <w:tcPr>
            <w:tcW w:w="1276" w:type="dxa"/>
            <w:tcBorders>
              <w:top w:val="nil"/>
              <w:left w:val="nil"/>
              <w:bottom w:val="single" w:color="auto" w:sz="4" w:space="0"/>
              <w:right w:val="single" w:color="auto" w:sz="4" w:space="0"/>
            </w:tcBorders>
            <w:shd w:val="clear" w:color="auto" w:fill="auto"/>
            <w:vAlign w:val="center"/>
          </w:tcPr>
          <w:p w14:paraId="524908D4">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资金来源、承包方式及合同方式</w:t>
            </w:r>
          </w:p>
        </w:tc>
        <w:tc>
          <w:tcPr>
            <w:tcW w:w="7796" w:type="dxa"/>
            <w:tcBorders>
              <w:top w:val="nil"/>
              <w:left w:val="nil"/>
              <w:bottom w:val="single" w:color="auto" w:sz="4" w:space="0"/>
              <w:right w:val="single" w:color="auto" w:sz="4" w:space="0"/>
            </w:tcBorders>
            <w:shd w:val="clear" w:color="auto" w:fill="auto"/>
            <w:vAlign w:val="center"/>
          </w:tcPr>
          <w:p w14:paraId="06CDB760">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承包方式为交钥匙项目，合同方式为固定总价</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合同总价已包含竞标人为履行本项目所产生的全部费用。</w:t>
            </w:r>
          </w:p>
        </w:tc>
      </w:tr>
      <w:tr w14:paraId="209053E5">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0AE386D">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w:t>
            </w:r>
          </w:p>
        </w:tc>
        <w:tc>
          <w:tcPr>
            <w:tcW w:w="1276" w:type="dxa"/>
            <w:tcBorders>
              <w:top w:val="nil"/>
              <w:left w:val="nil"/>
              <w:bottom w:val="single" w:color="auto" w:sz="4" w:space="0"/>
              <w:right w:val="single" w:color="auto" w:sz="4" w:space="0"/>
            </w:tcBorders>
            <w:shd w:val="clear" w:color="auto" w:fill="auto"/>
            <w:vAlign w:val="center"/>
          </w:tcPr>
          <w:p w14:paraId="10B86349">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联合体竞标</w:t>
            </w:r>
          </w:p>
        </w:tc>
        <w:tc>
          <w:tcPr>
            <w:tcW w:w="7796" w:type="dxa"/>
            <w:tcBorders>
              <w:top w:val="nil"/>
              <w:left w:val="nil"/>
              <w:bottom w:val="single" w:color="auto" w:sz="4" w:space="0"/>
              <w:right w:val="single" w:color="auto" w:sz="4" w:space="0"/>
            </w:tcBorders>
            <w:shd w:val="clear" w:color="auto" w:fill="auto"/>
            <w:vAlign w:val="center"/>
          </w:tcPr>
          <w:p w14:paraId="3A9DA561">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不接受</w:t>
            </w:r>
          </w:p>
        </w:tc>
      </w:tr>
      <w:tr w14:paraId="6B893AD0">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F9D0BCD">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w:t>
            </w:r>
          </w:p>
        </w:tc>
        <w:tc>
          <w:tcPr>
            <w:tcW w:w="1276" w:type="dxa"/>
            <w:tcBorders>
              <w:top w:val="nil"/>
              <w:left w:val="nil"/>
              <w:bottom w:val="single" w:color="auto" w:sz="4" w:space="0"/>
              <w:right w:val="single" w:color="auto" w:sz="4" w:space="0"/>
            </w:tcBorders>
            <w:shd w:val="clear" w:color="auto" w:fill="auto"/>
            <w:vAlign w:val="center"/>
          </w:tcPr>
          <w:p w14:paraId="3F163FD5">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分标</w:t>
            </w:r>
          </w:p>
        </w:tc>
        <w:tc>
          <w:tcPr>
            <w:tcW w:w="7796" w:type="dxa"/>
            <w:tcBorders>
              <w:top w:val="nil"/>
              <w:left w:val="nil"/>
              <w:bottom w:val="single" w:color="auto" w:sz="4" w:space="0"/>
              <w:right w:val="single" w:color="auto" w:sz="4" w:space="0"/>
            </w:tcBorders>
            <w:shd w:val="clear" w:color="auto" w:fill="auto"/>
            <w:vAlign w:val="center"/>
          </w:tcPr>
          <w:p w14:paraId="45ED177C">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招标人有权对招标项目进行分标，竞标人可就分标和总标</w:t>
            </w:r>
            <w:r>
              <w:rPr>
                <w:rFonts w:hint="eastAsia" w:ascii="宋体" w:hAnsi="宋体" w:eastAsia="宋体" w:cs="宋体"/>
                <w:color w:val="000000"/>
                <w:szCs w:val="21"/>
                <w:highlight w:val="none"/>
                <w:lang w:val="en-US" w:eastAsia="zh-CN"/>
              </w:rPr>
              <w:t>分</w:t>
            </w:r>
            <w:r>
              <w:rPr>
                <w:rFonts w:hint="eastAsia" w:ascii="宋体" w:hAnsi="宋体" w:eastAsia="宋体" w:cs="宋体"/>
                <w:color w:val="000000"/>
                <w:szCs w:val="21"/>
                <w:highlight w:val="none"/>
              </w:rPr>
              <w:t>别报价。</w:t>
            </w:r>
          </w:p>
        </w:tc>
      </w:tr>
      <w:tr w14:paraId="6AE2251C">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8C43C23">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000000"/>
                <w:szCs w:val="21"/>
                <w:highlight w:val="none"/>
              </w:rPr>
              <w:t>10</w:t>
            </w:r>
          </w:p>
        </w:tc>
        <w:tc>
          <w:tcPr>
            <w:tcW w:w="1276" w:type="dxa"/>
            <w:tcBorders>
              <w:top w:val="nil"/>
              <w:left w:val="nil"/>
              <w:bottom w:val="single" w:color="auto" w:sz="4" w:space="0"/>
              <w:right w:val="single" w:color="auto" w:sz="4" w:space="0"/>
            </w:tcBorders>
            <w:shd w:val="clear" w:color="auto" w:fill="auto"/>
            <w:vAlign w:val="center"/>
          </w:tcPr>
          <w:p w14:paraId="019B416C">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分包、转包</w:t>
            </w:r>
          </w:p>
        </w:tc>
        <w:tc>
          <w:tcPr>
            <w:tcW w:w="7796" w:type="dxa"/>
            <w:tcBorders>
              <w:top w:val="nil"/>
              <w:left w:val="nil"/>
              <w:bottom w:val="single" w:color="auto" w:sz="4" w:space="0"/>
              <w:right w:val="single" w:color="auto" w:sz="4" w:space="0"/>
            </w:tcBorders>
            <w:shd w:val="clear" w:color="auto" w:fill="auto"/>
            <w:vAlign w:val="center"/>
          </w:tcPr>
          <w:p w14:paraId="0933F490">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严禁转包。未经</w:t>
            </w:r>
            <w:r>
              <w:rPr>
                <w:rFonts w:hint="eastAsia" w:ascii="宋体" w:hAnsi="宋体" w:eastAsia="宋体" w:cs="宋体"/>
                <w:color w:val="000000"/>
                <w:szCs w:val="21"/>
                <w:highlight w:val="none"/>
                <w:lang w:val="en-US" w:eastAsia="zh-CN"/>
              </w:rPr>
              <w:t>招标人书面同意</w:t>
            </w:r>
            <w:r>
              <w:rPr>
                <w:rFonts w:hint="eastAsia" w:ascii="宋体" w:hAnsi="宋体" w:eastAsia="宋体" w:cs="宋体"/>
                <w:color w:val="000000"/>
                <w:szCs w:val="21"/>
                <w:highlight w:val="none"/>
              </w:rPr>
              <w:t>，中标人不得</w:t>
            </w:r>
            <w:r>
              <w:rPr>
                <w:rFonts w:hint="eastAsia" w:ascii="宋体" w:hAnsi="宋体" w:eastAsia="宋体" w:cs="宋体"/>
                <w:color w:val="auto"/>
                <w:szCs w:val="21"/>
                <w:highlight w:val="none"/>
                <w:lang w:val="en-US" w:eastAsia="zh-CN"/>
              </w:rPr>
              <w:t>擅自</w:t>
            </w:r>
            <w:r>
              <w:rPr>
                <w:rFonts w:hint="eastAsia" w:ascii="宋体" w:hAnsi="宋体" w:eastAsia="宋体" w:cs="宋体"/>
                <w:color w:val="000000"/>
                <w:szCs w:val="21"/>
                <w:highlight w:val="none"/>
              </w:rPr>
              <w:t>变更项目经理、项目主要技术负责人。法律规定可分包部分</w:t>
            </w:r>
            <w:r>
              <w:rPr>
                <w:rFonts w:hint="eastAsia" w:ascii="宋体" w:hAnsi="宋体" w:eastAsia="宋体" w:cs="宋体"/>
                <w:color w:val="000000"/>
                <w:szCs w:val="21"/>
                <w:highlight w:val="none"/>
                <w:lang w:val="en-US" w:eastAsia="zh-CN"/>
              </w:rPr>
              <w:t>的</w:t>
            </w:r>
            <w:r>
              <w:rPr>
                <w:rFonts w:hint="eastAsia" w:ascii="宋体" w:hAnsi="宋体" w:eastAsia="宋体" w:cs="宋体"/>
                <w:color w:val="000000"/>
                <w:szCs w:val="21"/>
                <w:highlight w:val="none"/>
              </w:rPr>
              <w:t>，经</w:t>
            </w:r>
            <w:r>
              <w:rPr>
                <w:rFonts w:hint="eastAsia" w:ascii="宋体" w:hAnsi="宋体" w:eastAsia="宋体" w:cs="宋体"/>
                <w:color w:val="000000"/>
                <w:szCs w:val="21"/>
                <w:highlight w:val="none"/>
                <w:lang w:val="en-US" w:eastAsia="zh-CN"/>
              </w:rPr>
              <w:t>招标人书面</w:t>
            </w:r>
            <w:r>
              <w:rPr>
                <w:rFonts w:hint="eastAsia" w:ascii="宋体" w:hAnsi="宋体" w:eastAsia="宋体" w:cs="宋体"/>
                <w:color w:val="000000"/>
                <w:szCs w:val="21"/>
                <w:highlight w:val="none"/>
              </w:rPr>
              <w:t>同意后可进行分包，除此之外，中标人不得进行任何形式的分包</w:t>
            </w:r>
            <w:r>
              <w:rPr>
                <w:rFonts w:hint="eastAsia" w:ascii="宋体" w:hAnsi="宋体" w:eastAsia="宋体" w:cs="宋体"/>
                <w:color w:val="auto"/>
                <w:szCs w:val="21"/>
                <w:highlight w:val="none"/>
                <w:lang w:val="en-US" w:eastAsia="zh-CN"/>
              </w:rPr>
              <w:t>或转包</w:t>
            </w:r>
            <w:r>
              <w:rPr>
                <w:rFonts w:hint="eastAsia" w:ascii="宋体" w:hAnsi="宋体" w:eastAsia="宋体" w:cs="宋体"/>
                <w:color w:val="000000"/>
                <w:szCs w:val="21"/>
                <w:highlight w:val="none"/>
              </w:rPr>
              <w:t>。</w:t>
            </w:r>
          </w:p>
        </w:tc>
      </w:tr>
      <w:tr w14:paraId="02CB14FD">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FE63790">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w:t>
            </w:r>
          </w:p>
        </w:tc>
        <w:tc>
          <w:tcPr>
            <w:tcW w:w="1276" w:type="dxa"/>
            <w:tcBorders>
              <w:top w:val="nil"/>
              <w:left w:val="nil"/>
              <w:bottom w:val="single" w:color="auto" w:sz="4" w:space="0"/>
              <w:right w:val="single" w:color="auto" w:sz="4" w:space="0"/>
            </w:tcBorders>
            <w:shd w:val="clear" w:color="auto" w:fill="auto"/>
            <w:vAlign w:val="center"/>
          </w:tcPr>
          <w:p w14:paraId="739C4F27">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装订要求</w:t>
            </w:r>
          </w:p>
        </w:tc>
        <w:tc>
          <w:tcPr>
            <w:tcW w:w="7796" w:type="dxa"/>
            <w:tcBorders>
              <w:top w:val="nil"/>
              <w:left w:val="nil"/>
              <w:bottom w:val="single" w:color="auto" w:sz="4" w:space="0"/>
              <w:right w:val="single" w:color="auto" w:sz="4" w:space="0"/>
            </w:tcBorders>
            <w:shd w:val="clear" w:color="auto" w:fill="auto"/>
            <w:vAlign w:val="center"/>
          </w:tcPr>
          <w:p w14:paraId="19423B7A">
            <w:pPr>
              <w:snapToGrid w:val="0"/>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竞标文件应牢固胶装成册，不可插页或抽页。</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竞标文件：按商务部分、技术部分、竞标报价（开标一览表）分别单独密封（称内包封）,竞标文件正本一份、副本</w:t>
            </w:r>
            <w:r>
              <w:rPr>
                <w:rFonts w:hint="eastAsia" w:ascii="宋体" w:hAnsi="宋体" w:eastAsia="宋体" w:cs="宋体"/>
                <w:color w:val="000000"/>
                <w:szCs w:val="21"/>
                <w:highlight w:val="none"/>
                <w:lang w:val="en-US" w:eastAsia="zh-CN"/>
              </w:rPr>
              <w:t>五</w:t>
            </w:r>
            <w:r>
              <w:rPr>
                <w:rFonts w:hint="eastAsia" w:ascii="宋体" w:hAnsi="宋体" w:eastAsia="宋体" w:cs="宋体"/>
                <w:color w:val="000000"/>
                <w:szCs w:val="21"/>
                <w:highlight w:val="none"/>
              </w:rPr>
              <w:t>份，U盘电子档；正副本骑缝部分均为鲜章</w:t>
            </w:r>
            <w:r>
              <w:rPr>
                <w:rFonts w:hint="eastAsia" w:ascii="宋体" w:hAnsi="宋体" w:eastAsia="宋体" w:cs="宋体"/>
                <w:color w:val="000000"/>
                <w:szCs w:val="21"/>
                <w:highlight w:val="none"/>
                <w:lang w:eastAsia="zh-CN"/>
              </w:rPr>
              <w:t>。</w:t>
            </w:r>
          </w:p>
          <w:p w14:paraId="7E3DEE8C">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所有要求盖章的地方都应加盖竞标人单位（法定名称）章（鲜章），不得使用专用印章（如经济合同章、竞标专用章等）或下属单位印章代替，</w:t>
            </w:r>
            <w:r>
              <w:rPr>
                <w:rFonts w:hint="eastAsia" w:ascii="宋体" w:hAnsi="宋体" w:eastAsia="宋体" w:cs="宋体"/>
                <w:color w:val="000000"/>
                <w:szCs w:val="21"/>
                <w:highlight w:val="none"/>
                <w:lang w:val="en-US" w:eastAsia="zh-CN"/>
              </w:rPr>
              <w:t>法定代表人、委托授权人签字处，应由法定代表人、委托授权人本人签字或加盖经公安局备案的私人印章。</w:t>
            </w:r>
          </w:p>
        </w:tc>
      </w:tr>
      <w:tr w14:paraId="43DFA2BE">
        <w:tblPrEx>
          <w:tblCellMar>
            <w:top w:w="0" w:type="dxa"/>
            <w:left w:w="108" w:type="dxa"/>
            <w:bottom w:w="0" w:type="dxa"/>
            <w:right w:w="108" w:type="dxa"/>
          </w:tblCellMar>
        </w:tblPrEx>
        <w:trPr>
          <w:trHeight w:val="61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B48FBB8">
            <w:pPr>
              <w:snapToGrid w:val="0"/>
              <w:spacing w:line="360" w:lineRule="auto"/>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12</w:t>
            </w:r>
          </w:p>
        </w:tc>
        <w:tc>
          <w:tcPr>
            <w:tcW w:w="1276" w:type="dxa"/>
            <w:tcBorders>
              <w:top w:val="nil"/>
              <w:left w:val="nil"/>
              <w:bottom w:val="single" w:color="auto" w:sz="4" w:space="0"/>
              <w:right w:val="single" w:color="auto" w:sz="4" w:space="0"/>
            </w:tcBorders>
            <w:shd w:val="clear" w:color="auto" w:fill="auto"/>
            <w:vAlign w:val="center"/>
          </w:tcPr>
          <w:p w14:paraId="687E2798">
            <w:pPr>
              <w:snapToGrid w:val="0"/>
              <w:spacing w:line="360" w:lineRule="auto"/>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竞标保证金缴纳</w:t>
            </w:r>
          </w:p>
        </w:tc>
        <w:tc>
          <w:tcPr>
            <w:tcW w:w="7796" w:type="dxa"/>
            <w:tcBorders>
              <w:top w:val="nil"/>
              <w:left w:val="nil"/>
              <w:bottom w:val="single" w:color="auto" w:sz="4" w:space="0"/>
              <w:right w:val="single" w:color="auto" w:sz="4" w:space="0"/>
            </w:tcBorders>
            <w:shd w:val="clear" w:color="auto" w:fill="auto"/>
            <w:vAlign w:val="center"/>
          </w:tcPr>
          <w:p w14:paraId="7BDE8EBC">
            <w:pPr>
              <w:snapToGrid w:val="0"/>
              <w:spacing w:line="360" w:lineRule="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无</w:t>
            </w:r>
          </w:p>
        </w:tc>
      </w:tr>
      <w:tr w14:paraId="6E9A38BD">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0C8719E">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w:t>
            </w:r>
          </w:p>
        </w:tc>
        <w:tc>
          <w:tcPr>
            <w:tcW w:w="1276" w:type="dxa"/>
            <w:tcBorders>
              <w:top w:val="nil"/>
              <w:left w:val="nil"/>
              <w:bottom w:val="single" w:color="auto" w:sz="4" w:space="0"/>
              <w:right w:val="single" w:color="auto" w:sz="4" w:space="0"/>
            </w:tcBorders>
            <w:shd w:val="clear" w:color="auto" w:fill="auto"/>
            <w:vAlign w:val="center"/>
          </w:tcPr>
          <w:p w14:paraId="7AEF9058">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竞标保证金退还</w:t>
            </w:r>
          </w:p>
        </w:tc>
        <w:tc>
          <w:tcPr>
            <w:tcW w:w="7796" w:type="dxa"/>
            <w:tcBorders>
              <w:top w:val="nil"/>
              <w:left w:val="nil"/>
              <w:bottom w:val="single" w:color="auto" w:sz="4" w:space="0"/>
              <w:right w:val="single" w:color="auto" w:sz="4" w:space="0"/>
            </w:tcBorders>
            <w:shd w:val="clear" w:color="auto" w:fill="auto"/>
            <w:vAlign w:val="center"/>
          </w:tcPr>
          <w:p w14:paraId="76A7E26F">
            <w:pPr>
              <w:snapToGrid w:val="0"/>
              <w:spacing w:line="360" w:lineRule="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w:t>
            </w:r>
          </w:p>
        </w:tc>
      </w:tr>
      <w:tr w14:paraId="106D53C8">
        <w:tblPrEx>
          <w:tblCellMar>
            <w:top w:w="0" w:type="dxa"/>
            <w:left w:w="108" w:type="dxa"/>
            <w:bottom w:w="0" w:type="dxa"/>
            <w:right w:w="108" w:type="dxa"/>
          </w:tblCellMar>
        </w:tblPrEx>
        <w:trPr>
          <w:trHeight w:val="240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DC70C63">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000000"/>
                <w:szCs w:val="21"/>
                <w:highlight w:val="none"/>
              </w:rPr>
              <w:t>14</w:t>
            </w:r>
          </w:p>
        </w:tc>
        <w:tc>
          <w:tcPr>
            <w:tcW w:w="1276" w:type="dxa"/>
            <w:tcBorders>
              <w:top w:val="nil"/>
              <w:left w:val="nil"/>
              <w:bottom w:val="single" w:color="auto" w:sz="4" w:space="0"/>
              <w:right w:val="single" w:color="auto" w:sz="4" w:space="0"/>
            </w:tcBorders>
            <w:shd w:val="clear" w:color="auto" w:fill="auto"/>
            <w:vAlign w:val="center"/>
          </w:tcPr>
          <w:p w14:paraId="6BA11E53">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履约保证措施</w:t>
            </w:r>
          </w:p>
        </w:tc>
        <w:tc>
          <w:tcPr>
            <w:tcW w:w="7796" w:type="dxa"/>
            <w:tcBorders>
              <w:top w:val="nil"/>
              <w:left w:val="nil"/>
              <w:bottom w:val="single" w:color="auto" w:sz="4" w:space="0"/>
              <w:right w:val="single" w:color="auto" w:sz="4" w:space="0"/>
            </w:tcBorders>
            <w:shd w:val="clear" w:color="auto" w:fill="auto"/>
            <w:vAlign w:val="center"/>
          </w:tcPr>
          <w:p w14:paraId="05D8D691">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为保证合同正常履约，竞标人应提供必要的保障措施（保障措施可采用履约保证金或保函方式，具体金额及方式由招标方决定或现场谈判为准）。</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1.履约保证金</w:t>
            </w:r>
            <w:r>
              <w:rPr>
                <w:rFonts w:hint="eastAsia" w:ascii="宋体" w:hAnsi="宋体" w:eastAsia="宋体" w:cs="宋体"/>
                <w:color w:val="000000"/>
                <w:szCs w:val="21"/>
                <w:highlight w:val="none"/>
                <w:lang w:val="en-US" w:eastAsia="zh-CN"/>
              </w:rPr>
              <w:t>10万元</w:t>
            </w:r>
            <w:r>
              <w:rPr>
                <w:rFonts w:hint="eastAsia" w:ascii="宋体" w:hAnsi="宋体" w:eastAsia="宋体" w:cs="宋体"/>
                <w:color w:val="000000"/>
                <w:szCs w:val="21"/>
                <w:highlight w:val="none"/>
              </w:rPr>
              <w:t>，其中竞标保证金可直接转为履约保证金，差额部分可采用电汇或银行保函方式，须在</w:t>
            </w:r>
            <w:r>
              <w:rPr>
                <w:rFonts w:hint="eastAsia" w:ascii="宋体" w:hAnsi="宋体" w:eastAsia="宋体" w:cs="宋体"/>
                <w:color w:val="000000"/>
                <w:szCs w:val="21"/>
                <w:highlight w:val="none"/>
                <w:lang w:val="en-US" w:eastAsia="zh-CN"/>
              </w:rPr>
              <w:t>预付款支付前</w:t>
            </w:r>
            <w:r>
              <w:rPr>
                <w:rFonts w:hint="eastAsia" w:ascii="宋体" w:hAnsi="宋体" w:eastAsia="宋体" w:cs="宋体"/>
                <w:color w:val="000000"/>
                <w:szCs w:val="21"/>
                <w:highlight w:val="none"/>
              </w:rPr>
              <w:t>提供；</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2.履约保证金退还时间为标的物全部</w:t>
            </w:r>
            <w:r>
              <w:rPr>
                <w:rFonts w:hint="eastAsia" w:ascii="宋体" w:hAnsi="宋体" w:eastAsia="宋体" w:cs="宋体"/>
                <w:color w:val="000000"/>
                <w:szCs w:val="21"/>
                <w:highlight w:val="none"/>
                <w:lang w:val="en-US" w:eastAsia="zh-CN"/>
              </w:rPr>
              <w:t>到货，安装调试完成且经</w:t>
            </w:r>
            <w:r>
              <w:rPr>
                <w:rFonts w:hint="eastAsia" w:ascii="宋体" w:hAnsi="宋体" w:eastAsia="宋体" w:cs="宋体"/>
                <w:color w:val="000000"/>
                <w:szCs w:val="21"/>
                <w:highlight w:val="none"/>
              </w:rPr>
              <w:t>招标人</w:t>
            </w:r>
            <w:r>
              <w:rPr>
                <w:rFonts w:hint="eastAsia" w:ascii="宋体" w:hAnsi="宋体" w:eastAsia="宋体" w:cs="宋体"/>
                <w:color w:val="000000"/>
                <w:szCs w:val="21"/>
                <w:highlight w:val="none"/>
                <w:lang w:val="en-US" w:eastAsia="zh-CN"/>
              </w:rPr>
              <w:t>验收合格</w:t>
            </w:r>
            <w:r>
              <w:rPr>
                <w:rFonts w:hint="eastAsia" w:ascii="宋体" w:hAnsi="宋体" w:eastAsia="宋体" w:cs="宋体"/>
                <w:color w:val="000000"/>
                <w:szCs w:val="21"/>
                <w:highlight w:val="none"/>
              </w:rPr>
              <w:t>后10个工作日内退还。</w:t>
            </w:r>
          </w:p>
          <w:p w14:paraId="245F4979">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r>
              <w:rPr>
                <w:rFonts w:hint="eastAsia" w:ascii="宋体" w:hAnsi="宋体" w:eastAsia="宋体" w:cs="宋体"/>
                <w:color w:val="000000"/>
                <w:kern w:val="0"/>
                <w:szCs w:val="21"/>
                <w:highlight w:val="none"/>
              </w:rPr>
              <w:t>履约担保的形式：履约保证金或银行保函。保函仅限于合同金额≥500万元，且保函应符合甲方要求的履约担保格式要求（具体递交形式以招标现场谈定为准）。</w:t>
            </w:r>
            <w:r>
              <w:rPr>
                <w:rFonts w:hint="eastAsia" w:ascii="宋体" w:hAnsi="宋体" w:eastAsia="宋体" w:cs="宋体"/>
                <w:color w:val="000000"/>
                <w:kern w:val="0"/>
                <w:szCs w:val="21"/>
                <w:highlight w:val="none"/>
                <w:lang w:val="en-US" w:eastAsia="zh-CN"/>
              </w:rPr>
              <w:t>4.</w:t>
            </w:r>
            <w:r>
              <w:rPr>
                <w:rFonts w:hint="eastAsia" w:ascii="宋体" w:hAnsi="宋体" w:eastAsia="宋体" w:cs="宋体"/>
                <w:color w:val="auto"/>
                <w:szCs w:val="21"/>
                <w:highlight w:val="none"/>
                <w:lang w:val="en-US" w:eastAsia="zh-CN"/>
              </w:rPr>
              <w:t>合同履行过程中履约保证被扣除的，中标供应商应于扣除后3日内补足</w:t>
            </w:r>
            <w:r>
              <w:rPr>
                <w:rFonts w:hint="eastAsia" w:ascii="宋体" w:hAnsi="宋体" w:eastAsia="宋体" w:cs="宋体"/>
                <w:color w:val="000000"/>
                <w:kern w:val="0"/>
                <w:szCs w:val="21"/>
                <w:highlight w:val="none"/>
              </w:rPr>
              <w:t>。</w:t>
            </w:r>
          </w:p>
        </w:tc>
      </w:tr>
      <w:tr w14:paraId="46BDEA65">
        <w:tblPrEx>
          <w:tblCellMar>
            <w:top w:w="0" w:type="dxa"/>
            <w:left w:w="108" w:type="dxa"/>
            <w:bottom w:w="0" w:type="dxa"/>
            <w:right w:w="108" w:type="dxa"/>
          </w:tblCellMar>
        </w:tblPrEx>
        <w:trPr>
          <w:trHeight w:val="11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06BC769B">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000000"/>
                <w:szCs w:val="21"/>
                <w:highlight w:val="none"/>
              </w:rPr>
              <w:t>15</w:t>
            </w:r>
          </w:p>
        </w:tc>
        <w:tc>
          <w:tcPr>
            <w:tcW w:w="1276" w:type="dxa"/>
            <w:tcBorders>
              <w:top w:val="nil"/>
              <w:left w:val="nil"/>
              <w:bottom w:val="single" w:color="auto" w:sz="4" w:space="0"/>
              <w:right w:val="single" w:color="auto" w:sz="4" w:space="0"/>
            </w:tcBorders>
            <w:shd w:val="clear" w:color="auto" w:fill="auto"/>
            <w:vAlign w:val="center"/>
          </w:tcPr>
          <w:p w14:paraId="5609794C">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知识产权保障</w:t>
            </w:r>
          </w:p>
        </w:tc>
        <w:tc>
          <w:tcPr>
            <w:tcW w:w="7796" w:type="dxa"/>
            <w:tcBorders>
              <w:top w:val="nil"/>
              <w:left w:val="nil"/>
              <w:bottom w:val="single" w:color="auto" w:sz="4" w:space="0"/>
              <w:right w:val="single" w:color="auto" w:sz="4" w:space="0"/>
            </w:tcBorders>
            <w:shd w:val="clear" w:color="auto" w:fill="auto"/>
            <w:vAlign w:val="center"/>
          </w:tcPr>
          <w:p w14:paraId="5FE7BBBF">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竞标方向招标方提供的设备在全球范围内没有侵害任何第三方的知识产权（包括但不限于专利、商标、版权或其他知识产权）。如果竞标方提供的设备由于竞标方存在侵权行为，其带来的所有法律责任及经济损失，由竞标方负责。</w:t>
            </w:r>
          </w:p>
          <w:p w14:paraId="48E08CB8">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制作投标文件时尚未知悉但在后续参与招标活动期间知悉其标的物存在或可能存在知识产权瑕疵及纠纷，尤其是与同时参与投标的其他</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产生或可能产生知识产权等权利纠纷的，</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应毫不迟疑地书面告知招标人。若</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系权利人，但在评标结束前未书面告知招标人其被侵权或可能被侵权的，视为</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放弃其相关权利。招标人若因此采购了侵犯</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知识产权的标的物的，视为</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同意允许招标人可自由占有、使用、收益及处分。若</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知悉或应当知悉其标的物侵犯他人知识产权等权利却不在评标前告知</w:t>
            </w:r>
            <w:r>
              <w:rPr>
                <w:rFonts w:hint="eastAsia" w:ascii="宋体" w:hAnsi="宋体" w:eastAsia="宋体" w:cs="宋体"/>
                <w:color w:val="000000"/>
                <w:szCs w:val="21"/>
                <w:highlight w:val="none"/>
                <w:lang w:val="en-US" w:eastAsia="zh-CN"/>
              </w:rPr>
              <w:t>招标人</w:t>
            </w:r>
            <w:r>
              <w:rPr>
                <w:rFonts w:hint="eastAsia" w:ascii="宋体" w:hAnsi="宋体" w:eastAsia="宋体" w:cs="宋体"/>
                <w:color w:val="000000"/>
                <w:szCs w:val="21"/>
                <w:highlight w:val="none"/>
              </w:rPr>
              <w:t>的，由此造成的一切损失和责任由</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承担。</w:t>
            </w:r>
          </w:p>
        </w:tc>
      </w:tr>
      <w:tr w14:paraId="7EEA8EE2">
        <w:tblPrEx>
          <w:tblCellMar>
            <w:top w:w="0" w:type="dxa"/>
            <w:left w:w="108" w:type="dxa"/>
            <w:bottom w:w="0" w:type="dxa"/>
            <w:right w:w="108" w:type="dxa"/>
          </w:tblCellMar>
        </w:tblPrEx>
        <w:trPr>
          <w:trHeight w:val="11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1D52442">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000000"/>
                <w:szCs w:val="21"/>
                <w:highlight w:val="none"/>
              </w:rPr>
              <w:t>16</w:t>
            </w:r>
          </w:p>
        </w:tc>
        <w:tc>
          <w:tcPr>
            <w:tcW w:w="1276" w:type="dxa"/>
            <w:tcBorders>
              <w:top w:val="single" w:color="auto" w:sz="4" w:space="0"/>
              <w:left w:val="nil"/>
              <w:bottom w:val="single" w:color="auto" w:sz="4" w:space="0"/>
              <w:right w:val="single" w:color="auto" w:sz="4" w:space="0"/>
            </w:tcBorders>
            <w:shd w:val="clear" w:color="auto" w:fill="auto"/>
            <w:vAlign w:val="center"/>
          </w:tcPr>
          <w:p w14:paraId="7C188E17">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c>
          <w:tcPr>
            <w:tcW w:w="7796" w:type="dxa"/>
            <w:tcBorders>
              <w:top w:val="single" w:color="auto" w:sz="4" w:space="0"/>
              <w:left w:val="nil"/>
              <w:bottom w:val="single" w:color="auto" w:sz="4" w:space="0"/>
              <w:right w:val="single" w:color="auto" w:sz="4" w:space="0"/>
            </w:tcBorders>
            <w:shd w:val="clear" w:color="auto" w:fill="auto"/>
            <w:vAlign w:val="center"/>
          </w:tcPr>
          <w:p w14:paraId="71FA57CD">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特别说明：</w:t>
            </w:r>
          </w:p>
          <w:p w14:paraId="1479C1A0">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1、本招标须知表中内容与招标文件其他地方不一致或相矛盾时，以本须知表为准。</w:t>
            </w:r>
          </w:p>
          <w:p w14:paraId="57FFE458">
            <w:pPr>
              <w:snapToGrid w:val="0"/>
              <w:spacing w:line="360" w:lineRule="auto"/>
              <w:rPr>
                <w:rFonts w:ascii="宋体" w:hAnsi="宋体" w:eastAsia="宋体" w:cs="宋体"/>
                <w:color w:val="auto"/>
                <w:szCs w:val="21"/>
                <w:highlight w:val="none"/>
              </w:rPr>
            </w:pPr>
            <w:r>
              <w:rPr>
                <w:rFonts w:hint="eastAsia" w:ascii="宋体" w:hAnsi="宋体" w:eastAsia="宋体" w:cs="宋体"/>
                <w:color w:val="000000"/>
                <w:szCs w:val="21"/>
                <w:highlight w:val="none"/>
              </w:rPr>
              <w:t>2、当</w:t>
            </w:r>
            <w:r>
              <w:rPr>
                <w:rFonts w:hint="eastAsia" w:ascii="宋体" w:hAnsi="宋体" w:eastAsia="宋体" w:cs="宋体"/>
                <w:color w:val="000000"/>
                <w:szCs w:val="21"/>
                <w:highlight w:val="none"/>
                <w:lang w:val="en-US" w:eastAsia="zh-CN"/>
              </w:rPr>
              <w:t>补遗文件或澄清说明文件</w:t>
            </w:r>
            <w:r>
              <w:rPr>
                <w:rFonts w:hint="eastAsia" w:ascii="宋体" w:hAnsi="宋体" w:eastAsia="宋体" w:cs="宋体"/>
                <w:color w:val="000000"/>
                <w:szCs w:val="21"/>
                <w:highlight w:val="none"/>
              </w:rPr>
              <w:t>与招标文件对应内容不一致时，以</w:t>
            </w:r>
            <w:r>
              <w:rPr>
                <w:rFonts w:hint="eastAsia" w:ascii="宋体" w:hAnsi="宋体" w:eastAsia="宋体" w:cs="宋体"/>
                <w:color w:val="000000"/>
                <w:szCs w:val="21"/>
                <w:highlight w:val="none"/>
                <w:lang w:val="en-US" w:eastAsia="zh-CN"/>
              </w:rPr>
              <w:t>最新的文件</w:t>
            </w:r>
            <w:r>
              <w:rPr>
                <w:rFonts w:hint="eastAsia" w:ascii="宋体" w:hAnsi="宋体" w:eastAsia="宋体" w:cs="宋体"/>
                <w:color w:val="000000"/>
                <w:szCs w:val="21"/>
                <w:highlight w:val="none"/>
              </w:rPr>
              <w:t>为准。</w:t>
            </w:r>
            <w:r>
              <w:rPr>
                <w:rFonts w:hint="eastAsia" w:ascii="宋体" w:hAnsi="宋体" w:eastAsia="宋体" w:cs="宋体"/>
                <w:color w:val="auto"/>
                <w:szCs w:val="21"/>
                <w:highlight w:val="none"/>
              </w:rPr>
              <w:t>3、竞争性谈判文件中的实质性要求和条件及招标文件带*号条款不允许负偏差。出现负偏差的视为重大偏差，评标委员会在评审时有权作否决投标处理。</w:t>
            </w:r>
          </w:p>
          <w:p w14:paraId="232841CE">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auto"/>
                <w:szCs w:val="21"/>
                <w:highlight w:val="none"/>
              </w:rPr>
              <w:t>4、投标文件对招标文件的全部偏差，均应在投标文件的商务和技术偏离表中列明，除列明内容外，视为竞标人全部响应竞争性谈判文件的全部要求。</w:t>
            </w:r>
          </w:p>
        </w:tc>
      </w:tr>
    </w:tbl>
    <w:p w14:paraId="1C65E91F">
      <w:pPr>
        <w:pStyle w:val="30"/>
        <w:snapToGrid w:val="0"/>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2、竞标资格</w:t>
      </w:r>
    </w:p>
    <w:p w14:paraId="031878D0">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2.1竞标人必须是具有合法资格、独立法人资格的单位（经总公司授权后的分公司也可作为投标主体进行投标），具有独立签订合同的权利；</w:t>
      </w:r>
    </w:p>
    <w:p w14:paraId="2EDE790C">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2.2竞标人在本标的项目上有专业技术、设备设施、人员组织、业绩和经验等方面具有设计、制造、质量控制、经营管理的相应资格和能力；</w:t>
      </w:r>
    </w:p>
    <w:p w14:paraId="7D44B78A">
      <w:pPr>
        <w:pStyle w:val="29"/>
        <w:snapToGrid w:val="0"/>
        <w:ind w:firstLine="0" w:firstLineChars="0"/>
        <w:outlineLvl w:val="1"/>
        <w:rPr>
          <w:rFonts w:hint="eastAsia" w:ascii="宋体" w:hAnsi="宋体" w:eastAsia="宋体" w:cs="宋体"/>
          <w:highlight w:val="none"/>
        </w:rPr>
      </w:pPr>
      <w:r>
        <w:rPr>
          <w:rFonts w:hint="eastAsia" w:ascii="宋体" w:hAnsi="宋体" w:eastAsia="宋体" w:cs="宋体"/>
          <w:highlight w:val="none"/>
        </w:rPr>
        <w:t>2.3竞标人应具有良好的商业信誉；</w:t>
      </w:r>
    </w:p>
    <w:p w14:paraId="7DC996AD">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2.4遵守国家法律、法规，具有良好的信誉和商业道德，没有行贿受贿、走私</w:t>
      </w:r>
      <w:r>
        <w:rPr>
          <w:rFonts w:hint="eastAsia" w:ascii="宋体" w:hAnsi="宋体" w:cs="宋体"/>
          <w:highlight w:val="none"/>
          <w:lang w:eastAsia="zh-CN"/>
        </w:rPr>
        <w:t>、</w:t>
      </w:r>
      <w:r>
        <w:rPr>
          <w:rFonts w:hint="eastAsia" w:ascii="宋体" w:hAnsi="宋体" w:eastAsia="宋体" w:cs="宋体"/>
          <w:highlight w:val="none"/>
        </w:rPr>
        <w:t>偷税漏税</w:t>
      </w:r>
      <w:r>
        <w:rPr>
          <w:rFonts w:hint="eastAsia" w:ascii="宋体" w:hAnsi="宋体" w:cs="宋体"/>
          <w:highlight w:val="none"/>
          <w:lang w:eastAsia="zh-CN"/>
        </w:rPr>
        <w:t>、</w:t>
      </w:r>
      <w:r>
        <w:rPr>
          <w:rFonts w:hint="eastAsia" w:ascii="宋体" w:hAnsi="宋体" w:cs="宋体"/>
          <w:highlight w:val="none"/>
          <w:lang w:val="en-US" w:eastAsia="zh-CN"/>
        </w:rPr>
        <w:t>重大安全事故</w:t>
      </w:r>
      <w:r>
        <w:rPr>
          <w:rFonts w:hint="eastAsia" w:ascii="宋体" w:hAnsi="宋体" w:eastAsia="宋体" w:cs="宋体"/>
          <w:highlight w:val="none"/>
        </w:rPr>
        <w:t>及欺诈</w:t>
      </w:r>
      <w:r>
        <w:rPr>
          <w:rFonts w:hint="eastAsia" w:ascii="宋体" w:hAnsi="宋体" w:cs="宋体"/>
          <w:highlight w:val="none"/>
          <w:lang w:val="en-US" w:eastAsia="zh-CN"/>
        </w:rPr>
        <w:t>等违法犯罪或违规违纪行为</w:t>
      </w:r>
      <w:r>
        <w:rPr>
          <w:rFonts w:hint="eastAsia" w:ascii="宋体" w:hAnsi="宋体" w:eastAsia="宋体" w:cs="宋体"/>
          <w:highlight w:val="none"/>
        </w:rPr>
        <w:t>；</w:t>
      </w:r>
    </w:p>
    <w:p w14:paraId="1C683188">
      <w:pPr>
        <w:pStyle w:val="29"/>
        <w:snapToGrid w:val="0"/>
        <w:ind w:firstLine="0" w:firstLineChars="0"/>
        <w:outlineLvl w:val="1"/>
        <w:rPr>
          <w:rFonts w:hint="eastAsia" w:ascii="宋体" w:hAnsi="宋体" w:eastAsia="宋体" w:cs="宋体"/>
          <w:highlight w:val="none"/>
        </w:rPr>
      </w:pPr>
      <w:r>
        <w:rPr>
          <w:rFonts w:hint="eastAsia" w:ascii="宋体" w:hAnsi="宋体" w:eastAsia="宋体" w:cs="宋体"/>
          <w:highlight w:val="none"/>
        </w:rPr>
        <w:t>2.5具有履行合同的能力和良好的履行合同记录；</w:t>
      </w:r>
    </w:p>
    <w:p w14:paraId="0DE57D04">
      <w:pPr>
        <w:pStyle w:val="29"/>
        <w:snapToGrid w:val="0"/>
        <w:ind w:firstLine="0" w:firstLineChars="0"/>
        <w:outlineLvl w:val="1"/>
        <w:rPr>
          <w:rFonts w:hint="default" w:ascii="宋体" w:hAnsi="宋体" w:eastAsia="宋体" w:cs="宋体"/>
          <w:color w:val="auto"/>
          <w:highlight w:val="none"/>
          <w:lang w:val="en-US" w:eastAsia="zh-CN"/>
        </w:rPr>
      </w:pPr>
      <w:r>
        <w:rPr>
          <w:rFonts w:hint="eastAsia" w:ascii="宋体" w:hAnsi="宋体" w:eastAsia="宋体" w:cs="宋体"/>
          <w:highlight w:val="none"/>
        </w:rPr>
        <w:t>2.6</w:t>
      </w:r>
      <w:r>
        <w:rPr>
          <w:rFonts w:hint="eastAsia" w:ascii="宋体" w:hAnsi="宋体" w:cs="宋体"/>
          <w:color w:val="auto"/>
          <w:highlight w:val="none"/>
          <w:lang w:val="en-US" w:eastAsia="zh-CN"/>
        </w:rPr>
        <w:t>根据国家相关法律法规须具备资质或取得许可方可执行的，还应具备合法有效的资质或许可文件；</w:t>
      </w:r>
    </w:p>
    <w:p w14:paraId="7156C132">
      <w:pPr>
        <w:pStyle w:val="29"/>
        <w:snapToGrid w:val="0"/>
        <w:ind w:firstLine="0" w:firstLineChars="0"/>
        <w:rPr>
          <w:rFonts w:hint="eastAsia" w:ascii="宋体" w:hAnsi="宋体" w:eastAsia="宋体" w:cs="宋体"/>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7</w:t>
      </w:r>
      <w:r>
        <w:rPr>
          <w:rFonts w:hint="eastAsia" w:ascii="宋体" w:hAnsi="宋体" w:eastAsia="宋体" w:cs="宋体"/>
          <w:highlight w:val="none"/>
        </w:rPr>
        <w:t>不得有串标、虚假陈述、伪造变造文件等欺诈行为，否则取消竞标资格。</w:t>
      </w:r>
    </w:p>
    <w:p w14:paraId="496A59F1">
      <w:pPr>
        <w:pStyle w:val="30"/>
        <w:numPr>
          <w:ilvl w:val="0"/>
          <w:numId w:val="2"/>
        </w:numPr>
        <w:snapToGrid w:val="0"/>
        <w:ind w:firstLineChars="0"/>
        <w:outlineLvl w:val="2"/>
        <w:rPr>
          <w:rFonts w:hint="eastAsia" w:ascii="宋体" w:hAnsi="宋体" w:eastAsia="宋体" w:cs="宋体"/>
          <w:highlight w:val="none"/>
        </w:rPr>
      </w:pPr>
      <w:r>
        <w:rPr>
          <w:rFonts w:hint="eastAsia" w:ascii="宋体" w:hAnsi="宋体" w:eastAsia="宋体" w:cs="宋体"/>
          <w:highlight w:val="none"/>
        </w:rPr>
        <w:t>竞标文件的组成</w:t>
      </w:r>
    </w:p>
    <w:p w14:paraId="2C22D50F">
      <w:pPr>
        <w:pStyle w:val="29"/>
        <w:snapToGrid w:val="0"/>
        <w:ind w:firstLine="420" w:firstLineChars="0"/>
        <w:rPr>
          <w:rFonts w:hint="eastAsia" w:ascii="宋体" w:hAnsi="宋体" w:eastAsia="宋体" w:cs="宋体"/>
          <w:highlight w:val="none"/>
        </w:rPr>
      </w:pPr>
      <w:r>
        <w:rPr>
          <w:rFonts w:hint="eastAsia" w:ascii="宋体" w:hAnsi="宋体" w:eastAsia="宋体" w:cs="宋体"/>
          <w:highlight w:val="none"/>
        </w:rPr>
        <w:t>竞标文件应由三部分组成。具体内容如下：第一部分：商务部分；第二部分：技术部分；第三部分：竞标报价（开标一览表）。竞标人所作的一切有效补充、修改文件，均被视为竞标文件不可分割的部分。</w:t>
      </w:r>
    </w:p>
    <w:p w14:paraId="2958358C">
      <w:pPr>
        <w:pStyle w:val="29"/>
        <w:snapToGrid w:val="0"/>
        <w:ind w:firstLine="0" w:firstLineChars="0"/>
        <w:outlineLvl w:val="1"/>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3.1商务部分</w:t>
      </w:r>
    </w:p>
    <w:p w14:paraId="302C87F5">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3.1.1竞标书（提供原件，格式见招标文件</w:t>
      </w:r>
      <w:r>
        <w:rPr>
          <w:rFonts w:hint="eastAsia" w:ascii="宋体" w:hAnsi="宋体" w:eastAsia="宋体" w:cs="宋体"/>
          <w:b/>
          <w:highlight w:val="none"/>
        </w:rPr>
        <w:t>附件1</w:t>
      </w:r>
      <w:r>
        <w:rPr>
          <w:rFonts w:hint="eastAsia" w:ascii="宋体" w:hAnsi="宋体" w:eastAsia="宋体" w:cs="宋体"/>
          <w:highlight w:val="none"/>
        </w:rPr>
        <w:t>）</w:t>
      </w:r>
    </w:p>
    <w:p w14:paraId="36D0773C">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3.1.2竞标人资格证明（至少包含以下证明材料）：</w:t>
      </w:r>
    </w:p>
    <w:p w14:paraId="3F7D2DA0">
      <w:pPr>
        <w:pStyle w:val="29"/>
        <w:snapToGrid w:val="0"/>
        <w:ind w:firstLine="420" w:firstLineChars="0"/>
        <w:rPr>
          <w:rFonts w:hint="eastAsia" w:ascii="宋体" w:hAnsi="宋体" w:eastAsia="宋体" w:cs="宋体"/>
          <w:highlight w:val="none"/>
        </w:rPr>
      </w:pPr>
      <w:r>
        <w:rPr>
          <w:rFonts w:hint="eastAsia" w:ascii="宋体" w:hAnsi="宋体" w:eastAsia="宋体" w:cs="宋体"/>
          <w:highlight w:val="none"/>
        </w:rPr>
        <w:t>1）竞标人关于资格的声明函（提供原件，格式见招标文件</w:t>
      </w:r>
      <w:r>
        <w:rPr>
          <w:rFonts w:hint="eastAsia" w:ascii="宋体" w:hAnsi="宋体" w:eastAsia="宋体" w:cs="宋体"/>
          <w:b/>
          <w:highlight w:val="none"/>
        </w:rPr>
        <w:t>附件2</w:t>
      </w:r>
      <w:r>
        <w:rPr>
          <w:rFonts w:hint="eastAsia" w:ascii="宋体" w:hAnsi="宋体" w:eastAsia="宋体" w:cs="宋体"/>
          <w:highlight w:val="none"/>
        </w:rPr>
        <w:t>）；</w:t>
      </w:r>
    </w:p>
    <w:p w14:paraId="1423D06E">
      <w:pPr>
        <w:pStyle w:val="29"/>
        <w:numPr>
          <w:ilvl w:val="0"/>
          <w:numId w:val="3"/>
        </w:numPr>
        <w:snapToGrid w:val="0"/>
        <w:ind w:firstLineChars="0"/>
        <w:rPr>
          <w:rFonts w:hint="eastAsia" w:ascii="宋体" w:hAnsi="宋体" w:eastAsia="宋体" w:cs="宋体"/>
          <w:highlight w:val="none"/>
        </w:rPr>
      </w:pPr>
      <w:r>
        <w:rPr>
          <w:rFonts w:hint="eastAsia" w:ascii="宋体" w:hAnsi="宋体" w:eastAsia="宋体" w:cs="宋体"/>
          <w:highlight w:val="none"/>
        </w:rPr>
        <w:t>竞标人法定代表人授权委托书（提供原件，格式见招标文件</w:t>
      </w:r>
      <w:r>
        <w:rPr>
          <w:rFonts w:hint="eastAsia" w:ascii="宋体" w:hAnsi="宋体" w:eastAsia="宋体" w:cs="宋体"/>
          <w:b/>
          <w:highlight w:val="none"/>
        </w:rPr>
        <w:t>附件3</w:t>
      </w:r>
      <w:r>
        <w:rPr>
          <w:rFonts w:hint="eastAsia" w:ascii="宋体" w:hAnsi="宋体" w:eastAsia="宋体" w:cs="宋体"/>
          <w:highlight w:val="none"/>
        </w:rPr>
        <w:t>）；</w:t>
      </w:r>
    </w:p>
    <w:p w14:paraId="75855C0E">
      <w:pPr>
        <w:pStyle w:val="29"/>
        <w:snapToGrid w:val="0"/>
        <w:ind w:firstLine="420" w:firstLineChars="0"/>
        <w:rPr>
          <w:rFonts w:hint="eastAsia" w:ascii="宋体" w:hAnsi="宋体" w:eastAsia="宋体" w:cs="宋体"/>
          <w:highlight w:val="none"/>
        </w:rPr>
      </w:pPr>
      <w:r>
        <w:rPr>
          <w:rFonts w:hint="eastAsia" w:ascii="宋体" w:hAnsi="宋体" w:eastAsia="宋体" w:cs="宋体"/>
          <w:highlight w:val="none"/>
        </w:rPr>
        <w:t>3）竞标人承诺函（提供原件，格式见招标文件</w:t>
      </w:r>
      <w:r>
        <w:rPr>
          <w:rFonts w:hint="eastAsia" w:ascii="宋体" w:hAnsi="宋体" w:eastAsia="宋体" w:cs="宋体"/>
          <w:b/>
          <w:highlight w:val="none"/>
        </w:rPr>
        <w:t>附件4</w:t>
      </w:r>
      <w:r>
        <w:rPr>
          <w:rFonts w:hint="eastAsia" w:ascii="宋体" w:hAnsi="宋体" w:eastAsia="宋体" w:cs="宋体"/>
          <w:highlight w:val="none"/>
        </w:rPr>
        <w:t>）；</w:t>
      </w:r>
    </w:p>
    <w:p w14:paraId="32F3C22A">
      <w:pPr>
        <w:pStyle w:val="29"/>
        <w:snapToGrid w:val="0"/>
        <w:ind w:firstLine="420" w:firstLineChars="0"/>
        <w:rPr>
          <w:rFonts w:hint="eastAsia" w:ascii="宋体" w:hAnsi="宋体" w:eastAsia="宋体" w:cs="宋体"/>
          <w:highlight w:val="none"/>
        </w:rPr>
      </w:pPr>
      <w:r>
        <w:rPr>
          <w:rFonts w:hint="eastAsia" w:ascii="宋体" w:hAnsi="宋体" w:eastAsia="宋体" w:cs="宋体"/>
          <w:highlight w:val="none"/>
        </w:rPr>
        <w:t>4）三证合一营业执照、资质证书的复印件并加盖公章，法定代表人身份证明（附上身份证复印件）并加盖公章；</w:t>
      </w:r>
    </w:p>
    <w:p w14:paraId="16443ED4">
      <w:pPr>
        <w:pStyle w:val="29"/>
        <w:snapToGrid w:val="0"/>
        <w:ind w:firstLine="420" w:firstLineChars="0"/>
        <w:rPr>
          <w:rFonts w:hint="eastAsia" w:ascii="宋体" w:hAnsi="宋体" w:cs="宋体"/>
          <w:highlight w:val="none"/>
          <w:lang w:eastAsia="zh-CN"/>
        </w:rPr>
      </w:pPr>
      <w:r>
        <w:rPr>
          <w:rFonts w:hint="eastAsia" w:ascii="宋体" w:hAnsi="宋体" w:eastAsia="宋体" w:cs="宋体"/>
          <w:highlight w:val="none"/>
        </w:rPr>
        <w:t>5）诚信合作与公平竞争协议（提供原件并加盖公章，格式见招标文件</w:t>
      </w:r>
      <w:r>
        <w:rPr>
          <w:rFonts w:hint="eastAsia" w:ascii="宋体" w:hAnsi="宋体" w:eastAsia="宋体" w:cs="宋体"/>
          <w:b/>
          <w:highlight w:val="none"/>
        </w:rPr>
        <w:t>附件6</w:t>
      </w:r>
      <w:r>
        <w:rPr>
          <w:rFonts w:hint="eastAsia" w:ascii="宋体" w:hAnsi="宋体" w:eastAsia="宋体" w:cs="宋体"/>
          <w:highlight w:val="none"/>
        </w:rPr>
        <w:t>）</w:t>
      </w:r>
      <w:r>
        <w:rPr>
          <w:rFonts w:hint="eastAsia" w:ascii="宋体" w:hAnsi="宋体" w:cs="宋体"/>
          <w:highlight w:val="none"/>
          <w:lang w:eastAsia="zh-CN"/>
        </w:rPr>
        <w:t>；</w:t>
      </w:r>
    </w:p>
    <w:p w14:paraId="58092741">
      <w:pPr>
        <w:pStyle w:val="29"/>
        <w:snapToGrid w:val="0"/>
        <w:ind w:firstLine="420" w:firstLineChars="0"/>
        <w:rPr>
          <w:rFonts w:hint="eastAsia" w:ascii="宋体" w:hAnsi="宋体" w:eastAsia="宋体" w:cs="宋体"/>
          <w:highlight w:val="none"/>
        </w:rPr>
      </w:pPr>
      <w:r>
        <w:rPr>
          <w:rFonts w:hint="eastAsia" w:ascii="宋体" w:hAnsi="宋体" w:cs="宋体"/>
          <w:highlight w:val="none"/>
          <w:lang w:val="en-US" w:eastAsia="zh-CN"/>
        </w:rPr>
        <w:t>6）诚信报价承诺书（提供原件并加盖公章，格式见招标文件附件10）。</w:t>
      </w:r>
    </w:p>
    <w:p w14:paraId="5171F44A">
      <w:pPr>
        <w:pStyle w:val="29"/>
        <w:snapToGrid w:val="0"/>
        <w:ind w:firstLine="0" w:firstLineChars="0"/>
        <w:outlineLvl w:val="2"/>
        <w:rPr>
          <w:rFonts w:hint="eastAsia" w:ascii="宋体" w:hAnsi="宋体" w:eastAsia="宋体" w:cs="宋体"/>
          <w:highlight w:val="none"/>
        </w:rPr>
      </w:pPr>
      <w:r>
        <w:rPr>
          <w:rFonts w:hint="eastAsia" w:ascii="宋体" w:hAnsi="宋体" w:eastAsia="宋体" w:cs="宋体"/>
          <w:highlight w:val="none"/>
        </w:rPr>
        <w:t>3.1.3竞标人资信证明：</w:t>
      </w:r>
    </w:p>
    <w:p w14:paraId="45C244DC">
      <w:pPr>
        <w:pStyle w:val="29"/>
        <w:snapToGrid w:val="0"/>
        <w:ind w:firstLine="420" w:firstLineChars="0"/>
        <w:rPr>
          <w:rFonts w:hint="eastAsia" w:ascii="宋体" w:hAnsi="宋体" w:eastAsia="宋体" w:cs="宋体"/>
          <w:highlight w:val="none"/>
        </w:rPr>
      </w:pPr>
      <w:r>
        <w:rPr>
          <w:rFonts w:hint="eastAsia" w:ascii="宋体" w:hAnsi="宋体" w:eastAsia="宋体" w:cs="宋体"/>
          <w:highlight w:val="none"/>
        </w:rPr>
        <w:t>1）质量管理体系认证证书；</w:t>
      </w:r>
    </w:p>
    <w:p w14:paraId="65F3F9CD">
      <w:pPr>
        <w:pStyle w:val="29"/>
        <w:numPr>
          <w:ilvl w:val="0"/>
          <w:numId w:val="4"/>
        </w:numPr>
        <w:snapToGrid w:val="0"/>
        <w:ind w:firstLineChars="0"/>
        <w:rPr>
          <w:rFonts w:hint="eastAsia" w:ascii="宋体" w:hAnsi="宋体" w:eastAsia="宋体" w:cs="宋体"/>
          <w:highlight w:val="none"/>
        </w:rPr>
      </w:pPr>
      <w:r>
        <w:rPr>
          <w:rFonts w:hint="eastAsia" w:ascii="宋体" w:hAnsi="宋体" w:eastAsia="宋体" w:cs="宋体"/>
          <w:highlight w:val="none"/>
        </w:rPr>
        <w:t>资信等级证书；</w:t>
      </w:r>
    </w:p>
    <w:p w14:paraId="6F1A1279">
      <w:pPr>
        <w:pStyle w:val="29"/>
        <w:snapToGrid w:val="0"/>
        <w:ind w:left="420" w:firstLine="0" w:firstLineChars="0"/>
        <w:rPr>
          <w:rFonts w:hint="eastAsia" w:ascii="宋体" w:hAnsi="宋体" w:eastAsia="宋体" w:cs="宋体"/>
          <w:highlight w:val="none"/>
        </w:rPr>
      </w:pPr>
      <w:r>
        <w:rPr>
          <w:rFonts w:hint="eastAsia" w:ascii="宋体" w:hAnsi="宋体" w:eastAsia="宋体" w:cs="宋体"/>
          <w:highlight w:val="none"/>
        </w:rPr>
        <w:t>3）企业财务状况，包含：近三年资产负债表、利润及利润分配表和现金流量表等会计报表以及有审计机构出具的审计报告，并加盖公章；</w:t>
      </w:r>
    </w:p>
    <w:p w14:paraId="4C875FE4">
      <w:pPr>
        <w:pStyle w:val="29"/>
        <w:snapToGrid w:val="0"/>
        <w:ind w:firstLine="420" w:firstLineChars="0"/>
        <w:rPr>
          <w:rFonts w:hint="eastAsia" w:ascii="宋体" w:hAnsi="宋体" w:eastAsia="宋体" w:cs="宋体"/>
          <w:highlight w:val="none"/>
        </w:rPr>
      </w:pPr>
      <w:r>
        <w:rPr>
          <w:rFonts w:hint="eastAsia" w:ascii="宋体" w:hAnsi="宋体" w:eastAsia="宋体" w:cs="宋体"/>
          <w:highlight w:val="none"/>
        </w:rPr>
        <w:t>4）最近一期工商年检报告（竞标人自选是否提供）</w:t>
      </w:r>
      <w:r>
        <w:rPr>
          <w:rFonts w:hint="eastAsia" w:ascii="宋体" w:hAnsi="宋体" w:eastAsia="宋体" w:cs="宋体"/>
          <w:highlight w:val="none"/>
          <w:lang w:eastAsia="zh-CN"/>
        </w:rPr>
        <w:t>；</w:t>
      </w:r>
    </w:p>
    <w:p w14:paraId="4579B32E">
      <w:pPr>
        <w:pStyle w:val="29"/>
        <w:snapToGrid w:val="0"/>
        <w:ind w:firstLine="42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5）其他资质证明文件等。</w:t>
      </w:r>
    </w:p>
    <w:p w14:paraId="428510A8">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3.1.4企业简介（包括组织机构、股权结构、生产能力、设备、厂房、人员结构等）</w:t>
      </w:r>
    </w:p>
    <w:p w14:paraId="1B25CC39">
      <w:pPr>
        <w:pStyle w:val="29"/>
        <w:snapToGrid w:val="0"/>
        <w:ind w:firstLine="0" w:firstLineChars="0"/>
        <w:outlineLvl w:val="2"/>
        <w:rPr>
          <w:rFonts w:hint="eastAsia" w:ascii="宋体" w:hAnsi="宋体" w:eastAsia="宋体" w:cs="宋体"/>
          <w:highlight w:val="none"/>
        </w:rPr>
      </w:pPr>
      <w:r>
        <w:rPr>
          <w:rFonts w:hint="eastAsia" w:ascii="宋体" w:hAnsi="宋体" w:eastAsia="宋体" w:cs="宋体"/>
          <w:highlight w:val="none"/>
        </w:rPr>
        <w:t>3.1.5企业主要业绩</w:t>
      </w:r>
    </w:p>
    <w:p w14:paraId="3BF75C75">
      <w:pPr>
        <w:pStyle w:val="29"/>
        <w:snapToGrid w:val="0"/>
        <w:ind w:firstLine="420" w:firstLineChars="0"/>
        <w:rPr>
          <w:rFonts w:hint="eastAsia" w:ascii="宋体" w:hAnsi="宋体" w:eastAsia="宋体" w:cs="宋体"/>
          <w:highlight w:val="none"/>
        </w:rPr>
      </w:pPr>
      <w:r>
        <w:rPr>
          <w:rFonts w:hint="eastAsia" w:ascii="宋体" w:hAnsi="宋体" w:eastAsia="宋体" w:cs="宋体"/>
          <w:highlight w:val="none"/>
        </w:rPr>
        <w:t>1）近三年业绩及目前正在执行合同情况（包括完成情况和出现的重要质量问题及改进措施。必须提供至少</w:t>
      </w:r>
      <w:r>
        <w:rPr>
          <w:rFonts w:hint="eastAsia" w:ascii="宋体" w:hAnsi="宋体" w:cs="宋体"/>
          <w:color w:val="auto"/>
          <w:highlight w:val="none"/>
          <w:lang w:val="en-US" w:eastAsia="zh-CN"/>
        </w:rPr>
        <w:t>三</w:t>
      </w:r>
      <w:r>
        <w:rPr>
          <w:rFonts w:hint="eastAsia" w:ascii="宋体" w:hAnsi="宋体" w:eastAsia="宋体" w:cs="宋体"/>
          <w:highlight w:val="none"/>
        </w:rPr>
        <w:t>份能证明业绩的有效证明，如：合同、中标通知书或使用单位评价等）；</w:t>
      </w:r>
    </w:p>
    <w:p w14:paraId="3F1116E3">
      <w:pPr>
        <w:pStyle w:val="29"/>
        <w:numPr>
          <w:ilvl w:val="0"/>
          <w:numId w:val="5"/>
        </w:numPr>
        <w:snapToGrid w:val="0"/>
        <w:ind w:firstLineChars="0"/>
        <w:rPr>
          <w:rFonts w:hint="eastAsia" w:ascii="宋体" w:hAnsi="宋体" w:eastAsia="宋体" w:cs="宋体"/>
          <w:highlight w:val="none"/>
        </w:rPr>
      </w:pPr>
      <w:r>
        <w:rPr>
          <w:rFonts w:hint="eastAsia" w:ascii="宋体" w:hAnsi="宋体" w:eastAsia="宋体" w:cs="宋体"/>
          <w:highlight w:val="none"/>
        </w:rPr>
        <w:t>近三年企业或产品获省、部级及以上奖励情况（附证书复印件）；</w:t>
      </w:r>
    </w:p>
    <w:p w14:paraId="7A40B61C">
      <w:pPr>
        <w:pStyle w:val="29"/>
        <w:snapToGrid w:val="0"/>
        <w:ind w:left="420" w:firstLine="0" w:firstLineChars="0"/>
        <w:rPr>
          <w:rFonts w:hint="eastAsia" w:ascii="宋体" w:hAnsi="宋体" w:eastAsia="宋体" w:cs="宋体"/>
          <w:highlight w:val="none"/>
        </w:rPr>
      </w:pPr>
      <w:r>
        <w:rPr>
          <w:rFonts w:hint="eastAsia" w:ascii="宋体" w:hAnsi="宋体" w:eastAsia="宋体" w:cs="宋体"/>
          <w:highlight w:val="none"/>
        </w:rPr>
        <w:t>3）竞标人应提供能证明其符合竞标合格条件和具有履行合同能力的资格文件，所附资料、文件必须清晰、真实、有效。所提供的证明材料，竞标人认为涉及商业秘密的可予删除，否则招标人对此不负任何责任。</w:t>
      </w:r>
    </w:p>
    <w:p w14:paraId="77D301BE">
      <w:pPr>
        <w:pStyle w:val="29"/>
        <w:snapToGrid w:val="0"/>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3.1.5保密协议，竞标人填写首页竞标人信息及末页竞标人落款，一式二份，加盖骑缝章与落款章（单独打印、不装订，随商务部分交由招标方，格式见招标文件</w:t>
      </w:r>
      <w:r>
        <w:rPr>
          <w:rFonts w:hint="eastAsia" w:ascii="宋体" w:hAnsi="宋体" w:eastAsia="宋体" w:cs="宋体"/>
          <w:b/>
          <w:highlight w:val="none"/>
        </w:rPr>
        <w:t>附件7</w:t>
      </w:r>
      <w:r>
        <w:rPr>
          <w:rFonts w:hint="eastAsia" w:ascii="宋体" w:hAnsi="宋体" w:eastAsia="宋体" w:cs="宋体"/>
          <w:highlight w:val="none"/>
        </w:rPr>
        <w:t>）。</w:t>
      </w:r>
    </w:p>
    <w:p w14:paraId="4653C39E">
      <w:pPr>
        <w:pStyle w:val="29"/>
        <w:snapToGrid w:val="0"/>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3.1.6合同模板响应说明，如有偏离需详细写出偏离原因</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列明条款编号及偏离内容）</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若未列明偏离内容的视为同意招标人的相应条款</w:t>
      </w:r>
      <w:r>
        <w:rPr>
          <w:rFonts w:hint="eastAsia" w:ascii="宋体" w:hAnsi="宋体" w:cs="宋体"/>
          <w:highlight w:val="none"/>
          <w:lang w:val="en-US" w:eastAsia="zh-CN"/>
        </w:rPr>
        <w:t>及合同附件</w:t>
      </w:r>
      <w:r>
        <w:rPr>
          <w:rFonts w:hint="eastAsia" w:ascii="宋体" w:hAnsi="宋体" w:eastAsia="宋体" w:cs="宋体"/>
          <w:highlight w:val="none"/>
          <w:lang w:val="en-US" w:eastAsia="zh-CN"/>
        </w:rPr>
        <w:t>。</w:t>
      </w:r>
      <w:r>
        <w:rPr>
          <w:rFonts w:hint="eastAsia" w:ascii="宋体" w:hAnsi="宋体" w:eastAsia="宋体" w:cs="宋体"/>
          <w:highlight w:val="none"/>
        </w:rPr>
        <w:t>（格式自拟，合同模板见招标文件</w:t>
      </w:r>
      <w:r>
        <w:rPr>
          <w:rFonts w:hint="eastAsia" w:ascii="宋体" w:hAnsi="宋体" w:eastAsia="宋体" w:cs="宋体"/>
          <w:b/>
          <w:highlight w:val="none"/>
        </w:rPr>
        <w:t>附件8</w:t>
      </w:r>
      <w:r>
        <w:rPr>
          <w:rFonts w:hint="eastAsia" w:ascii="宋体" w:hAnsi="宋体" w:eastAsia="宋体" w:cs="宋体"/>
          <w:highlight w:val="none"/>
        </w:rPr>
        <w:t>）。</w:t>
      </w:r>
    </w:p>
    <w:p w14:paraId="55F31D4A">
      <w:pPr>
        <w:pStyle w:val="29"/>
        <w:snapToGrid w:val="0"/>
        <w:ind w:firstLine="0" w:firstLineChars="0"/>
        <w:outlineLvl w:val="1"/>
        <w:rPr>
          <w:rFonts w:hint="eastAsia" w:ascii="宋体" w:hAnsi="宋体" w:eastAsia="宋体" w:cs="宋体"/>
          <w:highlight w:val="none"/>
        </w:rPr>
      </w:pPr>
      <w:r>
        <w:rPr>
          <w:rFonts w:hint="eastAsia" w:ascii="宋体" w:hAnsi="宋体" w:eastAsia="宋体" w:cs="宋体"/>
          <w:highlight w:val="none"/>
        </w:rPr>
        <w:t>3.2技术部分</w:t>
      </w:r>
    </w:p>
    <w:p w14:paraId="187BAC20">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内容的编制顺序和格式按以下要求填写。</w:t>
      </w:r>
    </w:p>
    <w:p w14:paraId="1F1C7D9A">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3.2.1技术条款差异表/偏离项清单；</w:t>
      </w:r>
    </w:p>
    <w:p w14:paraId="32120951">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3.2.2设备型号、性能、结构、质量标准和技术参数等；</w:t>
      </w:r>
    </w:p>
    <w:p w14:paraId="51078EE9">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3.2.3设备制作、安装规范；</w:t>
      </w:r>
    </w:p>
    <w:p w14:paraId="73F892E6">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3.2.4设计图纸；</w:t>
      </w:r>
    </w:p>
    <w:p w14:paraId="0BCD45A4">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3.2.5技术要求/规范；</w:t>
      </w:r>
    </w:p>
    <w:p w14:paraId="514A4426">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3.2.6设备进口部件明细表；</w:t>
      </w:r>
    </w:p>
    <w:p w14:paraId="3D5D0220">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3.2.7外购设备明细表；</w:t>
      </w:r>
    </w:p>
    <w:p w14:paraId="6ED2AE8F">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3.2.8专用工具清单；</w:t>
      </w:r>
    </w:p>
    <w:p w14:paraId="176540E2">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3.2.9施工组织（包括生产计划、设备及人员进场安排、现场管理、质量控制、安全保障体系等）；</w:t>
      </w:r>
    </w:p>
    <w:p w14:paraId="5E274424">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3.2.10安装调试进度计划表；</w:t>
      </w:r>
    </w:p>
    <w:p w14:paraId="602C6630">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3.2.11人员培训；</w:t>
      </w:r>
    </w:p>
    <w:p w14:paraId="7C8684E6">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3.2.12技术服务（含售后服务）；</w:t>
      </w:r>
    </w:p>
    <w:p w14:paraId="209BBBF7">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3.2.13项目交付和验收。</w:t>
      </w:r>
    </w:p>
    <w:p w14:paraId="5568A376">
      <w:pPr>
        <w:pStyle w:val="29"/>
        <w:snapToGrid w:val="0"/>
        <w:ind w:firstLine="0" w:firstLineChars="0"/>
        <w:outlineLvl w:val="1"/>
        <w:rPr>
          <w:rFonts w:hint="eastAsia" w:ascii="宋体" w:hAnsi="宋体" w:eastAsia="宋体" w:cs="宋体"/>
          <w:highlight w:val="none"/>
        </w:rPr>
      </w:pPr>
      <w:r>
        <w:rPr>
          <w:rFonts w:hint="eastAsia" w:ascii="宋体" w:hAnsi="宋体" w:eastAsia="宋体" w:cs="宋体"/>
          <w:highlight w:val="none"/>
        </w:rPr>
        <w:t>3.3竞标报价</w:t>
      </w:r>
    </w:p>
    <w:p w14:paraId="3A53EE20">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3.3.1开标一览表 （格式见招标文件</w:t>
      </w:r>
      <w:r>
        <w:rPr>
          <w:rFonts w:hint="eastAsia" w:ascii="宋体" w:hAnsi="宋体" w:eastAsia="宋体" w:cs="宋体"/>
          <w:b/>
          <w:highlight w:val="none"/>
        </w:rPr>
        <w:t>附件5</w:t>
      </w:r>
      <w:r>
        <w:rPr>
          <w:rFonts w:hint="eastAsia" w:ascii="宋体" w:hAnsi="宋体" w:eastAsia="宋体" w:cs="宋体"/>
          <w:highlight w:val="none"/>
        </w:rPr>
        <w:t>），需单独另行密封。</w:t>
      </w:r>
    </w:p>
    <w:p w14:paraId="7AFA7555">
      <w:pPr>
        <w:pStyle w:val="29"/>
        <w:snapToGrid w:val="0"/>
        <w:ind w:firstLine="0" w:firstLineChars="0"/>
        <w:outlineLvl w:val="2"/>
        <w:rPr>
          <w:rFonts w:hint="eastAsia" w:ascii="宋体" w:hAnsi="宋体" w:eastAsia="宋体" w:cs="宋体"/>
          <w:highlight w:val="none"/>
        </w:rPr>
      </w:pPr>
      <w:r>
        <w:rPr>
          <w:rFonts w:hint="eastAsia" w:ascii="宋体" w:hAnsi="宋体" w:eastAsia="宋体" w:cs="宋体"/>
          <w:highlight w:val="none"/>
        </w:rPr>
        <w:t>3.3.2分项报价清单。</w:t>
      </w:r>
    </w:p>
    <w:p w14:paraId="40BBE20F">
      <w:pPr>
        <w:pStyle w:val="29"/>
        <w:snapToGrid w:val="0"/>
        <w:ind w:firstLine="0" w:firstLineChars="0"/>
        <w:outlineLvl w:val="2"/>
        <w:rPr>
          <w:rFonts w:hint="eastAsia" w:ascii="宋体" w:hAnsi="宋体" w:eastAsia="宋体" w:cs="宋体"/>
          <w:highlight w:val="none"/>
          <w:lang w:val="en-US" w:eastAsia="zh-CN"/>
        </w:rPr>
      </w:pPr>
      <w:r>
        <w:rPr>
          <w:rFonts w:hint="eastAsia" w:ascii="宋体" w:hAnsi="宋体" w:eastAsia="宋体" w:cs="宋体"/>
          <w:highlight w:val="none"/>
          <w:lang w:val="en-US" w:eastAsia="zh-CN"/>
        </w:rPr>
        <w:t>3.4 如有优化建议，请单独说明优化方案，并对优化方案进行报价。</w:t>
      </w:r>
    </w:p>
    <w:p w14:paraId="2EC82E15">
      <w:pPr>
        <w:pStyle w:val="29"/>
        <w:ind w:firstLine="0" w:firstLineChars="0"/>
        <w:outlineLvl w:val="3"/>
        <w:rPr>
          <w:rFonts w:hint="eastAsia" w:ascii="宋体" w:hAnsi="宋体" w:eastAsia="宋体" w:cs="宋体"/>
          <w:b/>
          <w:highlight w:val="none"/>
        </w:rPr>
      </w:pPr>
      <w:r>
        <w:rPr>
          <w:rFonts w:hint="eastAsia" w:ascii="宋体" w:hAnsi="宋体" w:eastAsia="宋体" w:cs="宋体"/>
          <w:b/>
          <w:highlight w:val="none"/>
        </w:rPr>
        <w:t>4、发生下列情况之一的投标文件均视为无效：</w:t>
      </w:r>
    </w:p>
    <w:p w14:paraId="2F28BE8F">
      <w:pPr>
        <w:pStyle w:val="29"/>
        <w:ind w:firstLine="0" w:firstLineChars="0"/>
        <w:outlineLvl w:val="1"/>
        <w:rPr>
          <w:rFonts w:hint="eastAsia" w:ascii="宋体" w:hAnsi="宋体" w:eastAsia="宋体" w:cs="宋体"/>
          <w:highlight w:val="none"/>
        </w:rPr>
      </w:pPr>
      <w:r>
        <w:rPr>
          <w:rFonts w:hint="eastAsia" w:ascii="宋体" w:hAnsi="宋体" w:eastAsia="宋体" w:cs="宋体"/>
          <w:highlight w:val="none"/>
        </w:rPr>
        <w:t>4.1未在截止时间以前按竞争性谈判文件要求送达投标文件</w:t>
      </w:r>
      <w:r>
        <w:rPr>
          <w:rFonts w:hint="eastAsia" w:ascii="宋体" w:hAnsi="宋体" w:cs="宋体"/>
          <w:color w:val="auto"/>
          <w:highlight w:val="none"/>
        </w:rPr>
        <w:t>或未按竞争性谈判文件规定的方式参加评标</w:t>
      </w:r>
      <w:r>
        <w:rPr>
          <w:rFonts w:hint="eastAsia" w:ascii="宋体" w:hAnsi="宋体" w:eastAsia="宋体" w:cs="宋体"/>
          <w:highlight w:val="none"/>
        </w:rPr>
        <w:t>。</w:t>
      </w:r>
    </w:p>
    <w:p w14:paraId="678FD9C6">
      <w:pPr>
        <w:pStyle w:val="29"/>
        <w:ind w:firstLine="0" w:firstLineChars="0"/>
        <w:rPr>
          <w:rFonts w:hint="eastAsia" w:ascii="宋体" w:hAnsi="宋体" w:eastAsia="宋体" w:cs="宋体"/>
          <w:highlight w:val="none"/>
        </w:rPr>
      </w:pPr>
      <w:r>
        <w:rPr>
          <w:rFonts w:hint="eastAsia" w:ascii="宋体" w:hAnsi="宋体" w:eastAsia="宋体" w:cs="宋体"/>
          <w:highlight w:val="none"/>
        </w:rPr>
        <w:t>4.2投标书应盖而未盖公章、未装订、未密封、未有效授权、资质不符等。</w:t>
      </w:r>
    </w:p>
    <w:p w14:paraId="302EA27B">
      <w:pPr>
        <w:pStyle w:val="29"/>
        <w:ind w:firstLine="0" w:firstLineChars="0"/>
        <w:rPr>
          <w:rFonts w:hint="eastAsia" w:ascii="宋体" w:hAnsi="宋体" w:eastAsia="宋体" w:cs="宋体"/>
          <w:highlight w:val="none"/>
        </w:rPr>
      </w:pPr>
      <w:r>
        <w:rPr>
          <w:rFonts w:hint="eastAsia" w:ascii="宋体" w:hAnsi="宋体" w:eastAsia="宋体" w:cs="宋体"/>
          <w:highlight w:val="none"/>
        </w:rPr>
        <w:t>4.3投标人以他人名义投标、串标、以行贿手段谋取中标或者以其他弄虚作假方式投标的。下列行为属于串标：</w:t>
      </w:r>
    </w:p>
    <w:p w14:paraId="68F87F11">
      <w:pPr>
        <w:pStyle w:val="29"/>
        <w:ind w:firstLine="0" w:firstLineChars="0"/>
        <w:outlineLvl w:val="2"/>
        <w:rPr>
          <w:rFonts w:hint="eastAsia" w:ascii="宋体" w:hAnsi="宋体" w:eastAsia="宋体" w:cs="宋体"/>
          <w:highlight w:val="none"/>
        </w:rPr>
      </w:pPr>
      <w:r>
        <w:rPr>
          <w:rFonts w:hint="eastAsia" w:ascii="宋体" w:hAnsi="宋体" w:eastAsia="宋体" w:cs="宋体"/>
          <w:highlight w:val="none"/>
        </w:rPr>
        <w:t>4.3.1投标人之间相互约定抬高或压低投标报价；</w:t>
      </w:r>
    </w:p>
    <w:p w14:paraId="36D39F5A">
      <w:pPr>
        <w:pStyle w:val="29"/>
        <w:ind w:firstLine="0" w:firstLineChars="0"/>
        <w:rPr>
          <w:rFonts w:hint="eastAsia" w:ascii="宋体" w:hAnsi="宋体" w:eastAsia="宋体" w:cs="宋体"/>
          <w:highlight w:val="none"/>
        </w:rPr>
      </w:pPr>
      <w:r>
        <w:rPr>
          <w:rFonts w:hint="eastAsia" w:ascii="宋体" w:hAnsi="宋体" w:eastAsia="宋体" w:cs="宋体"/>
          <w:highlight w:val="none"/>
        </w:rPr>
        <w:t>4.3.2投标人之间相互约定，在招标项目中分别以高、中、低价位报价；</w:t>
      </w:r>
    </w:p>
    <w:p w14:paraId="1E264C28">
      <w:pPr>
        <w:pStyle w:val="29"/>
        <w:ind w:firstLine="0" w:firstLineChars="0"/>
        <w:rPr>
          <w:rFonts w:hint="eastAsia" w:ascii="宋体" w:hAnsi="宋体" w:eastAsia="宋体" w:cs="宋体"/>
          <w:highlight w:val="none"/>
        </w:rPr>
      </w:pPr>
      <w:r>
        <w:rPr>
          <w:rFonts w:hint="eastAsia" w:ascii="宋体" w:hAnsi="宋体" w:eastAsia="宋体" w:cs="宋体"/>
          <w:highlight w:val="none"/>
        </w:rPr>
        <w:t>4.3.3投标人之间先进行内部竞价，内定中标人，然后再参加投标；</w:t>
      </w:r>
    </w:p>
    <w:p w14:paraId="37B489F4">
      <w:pPr>
        <w:pStyle w:val="29"/>
        <w:ind w:firstLine="0" w:firstLineChars="0"/>
        <w:rPr>
          <w:rFonts w:hint="eastAsia" w:ascii="宋体" w:hAnsi="宋体" w:eastAsia="宋体" w:cs="宋体"/>
          <w:highlight w:val="none"/>
        </w:rPr>
      </w:pPr>
      <w:r>
        <w:rPr>
          <w:rFonts w:hint="eastAsia" w:ascii="宋体" w:hAnsi="宋体" w:eastAsia="宋体" w:cs="宋体"/>
          <w:highlight w:val="none"/>
        </w:rPr>
        <w:t>4.3.4与本标项其他投标人的投标文件全部或部分均由同一个单位或者同一个人编制的；</w:t>
      </w:r>
    </w:p>
    <w:p w14:paraId="426763DD">
      <w:pPr>
        <w:pStyle w:val="29"/>
        <w:ind w:firstLine="0" w:firstLineChars="0"/>
        <w:outlineLvl w:val="2"/>
        <w:rPr>
          <w:rFonts w:hint="eastAsia" w:ascii="宋体" w:hAnsi="宋体" w:eastAsia="宋体" w:cs="宋体"/>
          <w:highlight w:val="none"/>
        </w:rPr>
      </w:pPr>
      <w:r>
        <w:rPr>
          <w:rFonts w:hint="eastAsia" w:ascii="宋体" w:hAnsi="宋体" w:eastAsia="宋体" w:cs="宋体"/>
          <w:highlight w:val="none"/>
        </w:rPr>
        <w:t>4.3.5投标人之间其他串通投标报价的行为。</w:t>
      </w:r>
    </w:p>
    <w:p w14:paraId="059959D5">
      <w:pPr>
        <w:pStyle w:val="29"/>
        <w:ind w:firstLine="0" w:firstLineChars="0"/>
        <w:rPr>
          <w:rFonts w:hint="eastAsia" w:ascii="宋体" w:hAnsi="宋体" w:cs="宋体"/>
          <w:color w:val="auto"/>
          <w:highlight w:val="none"/>
        </w:rPr>
      </w:pPr>
      <w:r>
        <w:rPr>
          <w:rFonts w:hint="eastAsia" w:ascii="宋体" w:hAnsi="宋体" w:eastAsia="宋体" w:cs="宋体"/>
          <w:highlight w:val="none"/>
        </w:rPr>
        <w:t>4.4</w:t>
      </w:r>
      <w:r>
        <w:rPr>
          <w:rFonts w:hint="eastAsia" w:ascii="宋体" w:hAnsi="宋体" w:cs="宋体"/>
          <w:color w:val="auto"/>
          <w:highlight w:val="none"/>
        </w:rPr>
        <w:t>投标人提供的投标文件或投标内容弄虚做假，包括但不限于加盖私刻印章、伪造法人签字、投标内容虚假等的。</w:t>
      </w:r>
    </w:p>
    <w:p w14:paraId="6B8C0057">
      <w:pPr>
        <w:pStyle w:val="29"/>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4.5</w:t>
      </w:r>
      <w:r>
        <w:rPr>
          <w:rFonts w:hint="eastAsia" w:ascii="宋体" w:hAnsi="宋体" w:cs="宋体"/>
          <w:color w:val="auto"/>
          <w:highlight w:val="none"/>
        </w:rPr>
        <w:t>不</w:t>
      </w:r>
      <w:r>
        <w:rPr>
          <w:rFonts w:hint="eastAsia" w:ascii="宋体" w:hAnsi="宋体" w:eastAsia="宋体" w:cs="宋体"/>
          <w:highlight w:val="none"/>
        </w:rPr>
        <w:t>符合法律、法规和招标文件规定的其他实质性要求的。</w:t>
      </w:r>
    </w:p>
    <w:p w14:paraId="70818B30">
      <w:pPr>
        <w:pStyle w:val="29"/>
        <w:ind w:firstLine="0" w:firstLineChars="0"/>
        <w:rPr>
          <w:rFonts w:hint="eastAsia" w:ascii="宋体" w:hAnsi="宋体" w:eastAsia="宋体" w:cs="宋体"/>
          <w:szCs w:val="21"/>
          <w:highlight w:val="none"/>
        </w:rPr>
      </w:pPr>
      <w:r>
        <w:rPr>
          <w:rFonts w:hint="eastAsia" w:ascii="宋体" w:hAnsi="宋体" w:eastAsia="宋体" w:cs="宋体"/>
          <w:highlight w:val="none"/>
        </w:rPr>
        <w:t>4.</w:t>
      </w:r>
      <w:r>
        <w:rPr>
          <w:rFonts w:hint="eastAsia" w:ascii="宋体" w:hAnsi="宋体" w:cs="宋体"/>
          <w:color w:val="auto"/>
          <w:highlight w:val="none"/>
          <w:lang w:val="en-US" w:eastAsia="zh-CN"/>
        </w:rPr>
        <w:t>6</w:t>
      </w:r>
      <w:r>
        <w:rPr>
          <w:rFonts w:hint="eastAsia" w:ascii="宋体" w:hAnsi="宋体" w:eastAsia="宋体" w:cs="宋体"/>
          <w:szCs w:val="21"/>
          <w:highlight w:val="none"/>
        </w:rPr>
        <w:t>招标文件另明确定义为无效投标的情况。</w:t>
      </w:r>
    </w:p>
    <w:p w14:paraId="390DEBFA">
      <w:pPr>
        <w:pStyle w:val="29"/>
        <w:ind w:firstLine="0" w:firstLineChars="0"/>
        <w:outlineLvl w:val="3"/>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5、答疑及招标文件的修改</w:t>
      </w:r>
    </w:p>
    <w:p w14:paraId="5E9138FB">
      <w:pPr>
        <w:pStyle w:val="29"/>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如对本次竞争性谈判文件存在疑问，请竞标方以电子邮件的形式在竞标截止日期前3天提交，招标人将做统一答复，如在规定时间内未收到任何质疑，则视为各竞标方对竞争性谈判文件无异议。</w:t>
      </w:r>
    </w:p>
    <w:p w14:paraId="0F853255">
      <w:pPr>
        <w:pStyle w:val="29"/>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在评标结束前，招标人有权对招标文件进行澄清、修改，这些补充修改文件是招标文件的组成部分，对投标人有约束作用。若澄清或者修改的内容可能影响资格预审申请文件或者投标文件编制的，招标人应当采取与本招标文件相同的方式发布或告知竞标方，必要时招标人应当延长投标截止时间。竞标方应当尽到注意义务，及时关注招标人可能发布的公示文件。</w:t>
      </w:r>
    </w:p>
    <w:p w14:paraId="6444F2AF">
      <w:pPr>
        <w:pStyle w:val="29"/>
        <w:ind w:firstLine="0" w:firstLineChars="0"/>
        <w:outlineLvl w:val="3"/>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6、投标文件的补充、修改、撤回及投标有效期</w:t>
      </w:r>
    </w:p>
    <w:p w14:paraId="5276853D">
      <w:pPr>
        <w:pStyle w:val="29"/>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投标文件不得有涂改、增删及行间插字。若有修改须由签署投标文件的法人代表或法人授权代表人在修改处进行签字</w:t>
      </w:r>
      <w:r>
        <w:rPr>
          <w:rFonts w:hint="eastAsia" w:ascii="宋体" w:hAnsi="宋体" w:cs="宋体"/>
          <w:szCs w:val="21"/>
          <w:highlight w:val="none"/>
          <w:lang w:val="en-US" w:eastAsia="zh-CN"/>
        </w:rPr>
        <w:t>并捺印</w:t>
      </w:r>
      <w:r>
        <w:rPr>
          <w:rFonts w:hint="eastAsia" w:ascii="宋体" w:hAnsi="宋体" w:eastAsia="宋体" w:cs="宋体"/>
          <w:szCs w:val="21"/>
          <w:highlight w:val="none"/>
          <w:lang w:val="en-US" w:eastAsia="zh-CN"/>
        </w:rPr>
        <w:t>。</w:t>
      </w:r>
    </w:p>
    <w:p w14:paraId="770CD02E">
      <w:pPr>
        <w:pStyle w:val="29"/>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竞标方在递交投标文件以后，在规定的投标截止日之前，可以书面形式补充修改或撤回已提交的投标文件，不得与招标文件实质性要求相冲突，修改或撤回前要一并通知招标人。补充、修改的内容为投标文件的组成部分。投标人对投标文件的补充修改应符合本招标文件对密封、标志和递交等的规定，并在内外密封袋上清楚标明“补充修改”字样。</w:t>
      </w:r>
    </w:p>
    <w:p w14:paraId="2FD532A1">
      <w:pPr>
        <w:pStyle w:val="29"/>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投标文件有效期为从规定的开标时间（投标截止时间）起</w:t>
      </w:r>
      <w:r>
        <w:rPr>
          <w:rFonts w:hint="eastAsia" w:ascii="宋体" w:hAnsi="宋体" w:cs="宋体"/>
          <w:szCs w:val="21"/>
          <w:highlight w:val="none"/>
          <w:lang w:val="en-US" w:eastAsia="zh-CN"/>
        </w:rPr>
        <w:t>90</w:t>
      </w:r>
      <w:r>
        <w:rPr>
          <w:rFonts w:hint="eastAsia" w:ascii="宋体" w:hAnsi="宋体" w:eastAsia="宋体" w:cs="宋体"/>
          <w:szCs w:val="21"/>
          <w:highlight w:val="none"/>
          <w:lang w:val="en-US" w:eastAsia="zh-CN"/>
        </w:rPr>
        <w:t>天内，在此期间内投标文件有效，投标人不得改变其在投标文件中承诺的全部义务。特殊情况下，在原投标有效期期满之前，招标人可以延长有效期。</w:t>
      </w:r>
    </w:p>
    <w:p w14:paraId="2F303AFA">
      <w:pPr>
        <w:pStyle w:val="29"/>
        <w:ind w:firstLine="0" w:firstLineChars="0"/>
        <w:rPr>
          <w:rFonts w:hint="eastAsia" w:ascii="宋体" w:hAnsi="宋体" w:eastAsia="宋体" w:cs="宋体"/>
          <w:szCs w:val="21"/>
          <w:highlight w:val="none"/>
          <w:lang w:val="en-US" w:eastAsia="zh-CN"/>
        </w:rPr>
      </w:pPr>
    </w:p>
    <w:p w14:paraId="0B30E95E">
      <w:pPr>
        <w:pStyle w:val="29"/>
        <w:snapToGrid w:val="0"/>
        <w:ind w:firstLine="0" w:firstLineChars="0"/>
        <w:rPr>
          <w:rFonts w:hint="eastAsia" w:ascii="宋体" w:hAnsi="宋体" w:eastAsia="宋体" w:cs="宋体"/>
          <w:highlight w:val="none"/>
        </w:rPr>
      </w:pPr>
    </w:p>
    <w:p w14:paraId="67432585">
      <w:pPr>
        <w:widowControl/>
        <w:jc w:val="left"/>
        <w:rPr>
          <w:rFonts w:hint="eastAsia" w:ascii="宋体" w:hAnsi="宋体" w:eastAsia="宋体" w:cs="宋体"/>
          <w:b/>
          <w:bCs/>
          <w:sz w:val="32"/>
          <w:szCs w:val="32"/>
          <w:highlight w:val="none"/>
        </w:rPr>
      </w:pPr>
      <w:bookmarkStart w:id="11" w:name="_Toc115362582"/>
      <w:bookmarkStart w:id="12" w:name="_Toc115424827"/>
      <w:bookmarkStart w:id="13" w:name="_Toc115362801"/>
      <w:bookmarkStart w:id="14" w:name="_Toc115362485"/>
    </w:p>
    <w:p w14:paraId="63A341CE">
      <w:pPr>
        <w:pStyle w:val="28"/>
        <w:numPr>
          <w:ilvl w:val="0"/>
          <w:numId w:val="1"/>
        </w:numPr>
        <w:snapToGrid w:val="0"/>
        <w:ind w:firstLineChars="0"/>
        <w:jc w:val="center"/>
        <w:outlineLvl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开标、评标须知</w:t>
      </w:r>
      <w:bookmarkEnd w:id="11"/>
      <w:bookmarkEnd w:id="12"/>
      <w:bookmarkEnd w:id="13"/>
      <w:bookmarkEnd w:id="14"/>
    </w:p>
    <w:p w14:paraId="0AD2E3D5">
      <w:pPr>
        <w:pStyle w:val="30"/>
        <w:ind w:firstLine="0" w:firstLineChars="0"/>
        <w:outlineLvl w:val="1"/>
        <w:rPr>
          <w:rFonts w:hint="eastAsia" w:ascii="宋体" w:hAnsi="宋体" w:eastAsia="宋体" w:cs="宋体"/>
          <w:highlight w:val="none"/>
        </w:rPr>
      </w:pPr>
      <w:r>
        <w:rPr>
          <w:rFonts w:hint="eastAsia" w:ascii="宋体" w:hAnsi="宋体" w:eastAsia="宋体" w:cs="宋体"/>
          <w:highlight w:val="none"/>
        </w:rPr>
        <w:t>1、开标</w:t>
      </w:r>
    </w:p>
    <w:p w14:paraId="4187C961">
      <w:pPr>
        <w:pStyle w:val="29"/>
        <w:ind w:firstLineChars="0"/>
        <w:rPr>
          <w:rFonts w:hint="eastAsia" w:ascii="宋体" w:hAnsi="宋体" w:eastAsia="宋体" w:cs="宋体"/>
          <w:highlight w:val="none"/>
        </w:rPr>
      </w:pPr>
      <w:r>
        <w:rPr>
          <w:rFonts w:hint="eastAsia" w:ascii="宋体" w:hAnsi="宋体" w:eastAsia="宋体" w:cs="宋体"/>
          <w:highlight w:val="none"/>
        </w:rPr>
        <w:t>1.1时间： 20</w:t>
      </w:r>
      <w:r>
        <w:rPr>
          <w:rFonts w:hint="eastAsia" w:ascii="宋体" w:hAnsi="宋体" w:eastAsia="宋体" w:cs="宋体"/>
          <w:highlight w:val="none"/>
          <w:lang w:val="en-US" w:eastAsia="zh-CN"/>
        </w:rPr>
        <w:t>25</w:t>
      </w:r>
      <w:r>
        <w:rPr>
          <w:rFonts w:hint="eastAsia" w:ascii="宋体" w:hAnsi="宋体" w:eastAsia="宋体" w:cs="宋体"/>
          <w:highlight w:val="none"/>
        </w:rPr>
        <w:t>年</w:t>
      </w:r>
      <w:r>
        <w:rPr>
          <w:rFonts w:hint="eastAsia" w:ascii="宋体" w:hAnsi="宋体" w:eastAsia="宋体" w:cs="宋体"/>
          <w:highlight w:val="none"/>
          <w:lang w:val="en-US" w:eastAsia="zh-CN"/>
        </w:rPr>
        <w:t>11</w:t>
      </w:r>
      <w:r>
        <w:rPr>
          <w:rFonts w:hint="eastAsia" w:ascii="宋体" w:hAnsi="宋体" w:eastAsia="宋体" w:cs="宋体"/>
          <w:highlight w:val="none"/>
        </w:rPr>
        <w:t>月</w:t>
      </w:r>
      <w:r>
        <w:rPr>
          <w:rFonts w:hint="eastAsia" w:ascii="宋体" w:hAnsi="宋体" w:cs="宋体"/>
          <w:highlight w:val="none"/>
          <w:lang w:val="en-US" w:eastAsia="zh-CN"/>
        </w:rPr>
        <w:t>7</w:t>
      </w:r>
      <w:r>
        <w:rPr>
          <w:rFonts w:hint="eastAsia" w:ascii="宋体" w:hAnsi="宋体" w:eastAsia="宋体" w:cs="宋体"/>
          <w:highlight w:val="none"/>
        </w:rPr>
        <w:t>日上午9点00分（北京时间）</w:t>
      </w:r>
    </w:p>
    <w:p w14:paraId="158257A3">
      <w:pPr>
        <w:pStyle w:val="29"/>
        <w:ind w:firstLineChars="0"/>
        <w:rPr>
          <w:rFonts w:hint="eastAsia" w:ascii="宋体" w:hAnsi="宋体" w:eastAsia="宋体" w:cs="宋体"/>
          <w:highlight w:val="none"/>
          <w:lang w:val="en-US" w:eastAsia="zh-CN"/>
        </w:rPr>
      </w:pPr>
      <w:r>
        <w:rPr>
          <w:rFonts w:hint="eastAsia" w:ascii="宋体" w:hAnsi="宋体" w:eastAsia="宋体" w:cs="宋体"/>
          <w:highlight w:val="none"/>
        </w:rPr>
        <w:t>1.2地点：四川省</w:t>
      </w:r>
      <w:r>
        <w:rPr>
          <w:rFonts w:hint="eastAsia" w:ascii="宋体" w:hAnsi="宋体" w:eastAsia="宋体" w:cs="宋体"/>
          <w:highlight w:val="none"/>
          <w:lang w:val="en-US" w:eastAsia="zh-CN"/>
        </w:rPr>
        <w:t>眉山市丹棱县眉山琏升光伏科技有限公司行政楼2楼招采部 杨超 13408453319</w:t>
      </w:r>
    </w:p>
    <w:p w14:paraId="0B7BD9B4">
      <w:pPr>
        <w:pStyle w:val="30"/>
        <w:ind w:firstLine="0" w:firstLineChars="0"/>
        <w:outlineLvl w:val="1"/>
        <w:rPr>
          <w:rFonts w:hint="eastAsia" w:ascii="宋体" w:hAnsi="宋体" w:eastAsia="宋体" w:cs="宋体"/>
          <w:highlight w:val="none"/>
        </w:rPr>
      </w:pPr>
      <w:r>
        <w:rPr>
          <w:rFonts w:hint="eastAsia" w:ascii="宋体" w:hAnsi="宋体" w:eastAsia="宋体" w:cs="宋体"/>
          <w:highlight w:val="none"/>
        </w:rPr>
        <w:t>2、评标</w:t>
      </w:r>
    </w:p>
    <w:p w14:paraId="14E3E351">
      <w:pPr>
        <w:pStyle w:val="29"/>
        <w:ind w:firstLineChars="0"/>
        <w:rPr>
          <w:rFonts w:hint="eastAsia" w:ascii="宋体" w:hAnsi="宋体" w:eastAsia="宋体" w:cs="宋体"/>
          <w:highlight w:val="none"/>
        </w:rPr>
      </w:pPr>
      <w:r>
        <w:rPr>
          <w:rFonts w:hint="eastAsia" w:ascii="宋体" w:hAnsi="宋体" w:eastAsia="宋体" w:cs="宋体"/>
          <w:highlight w:val="none"/>
        </w:rPr>
        <w:t>2.1评标由</w:t>
      </w:r>
      <w:r>
        <w:rPr>
          <w:rFonts w:hint="eastAsia" w:ascii="宋体" w:hAnsi="宋体" w:eastAsia="宋体" w:cs="宋体"/>
          <w:highlight w:val="none"/>
          <w:lang w:val="en-US" w:eastAsia="zh-CN"/>
        </w:rPr>
        <w:t>眉山琏升光伏科技有限公司</w:t>
      </w:r>
      <w:r>
        <w:rPr>
          <w:rFonts w:hint="eastAsia" w:ascii="宋体" w:hAnsi="宋体" w:eastAsia="宋体" w:cs="宋体"/>
          <w:highlight w:val="none"/>
        </w:rPr>
        <w:t>招</w:t>
      </w:r>
      <w:r>
        <w:rPr>
          <w:rFonts w:hint="eastAsia" w:ascii="宋体" w:hAnsi="宋体" w:eastAsia="宋体" w:cs="宋体"/>
          <w:highlight w:val="none"/>
          <w:lang w:val="en-US" w:eastAsia="zh-CN"/>
        </w:rPr>
        <w:t>采</w:t>
      </w:r>
      <w:r>
        <w:rPr>
          <w:rFonts w:hint="eastAsia" w:ascii="宋体" w:hAnsi="宋体" w:eastAsia="宋体" w:cs="宋体"/>
          <w:highlight w:val="none"/>
        </w:rPr>
        <w:t>部负责组织</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并成立评标小组</w:t>
      </w:r>
      <w:r>
        <w:rPr>
          <w:rFonts w:hint="eastAsia" w:ascii="宋体" w:hAnsi="宋体" w:eastAsia="宋体" w:cs="宋体"/>
          <w:highlight w:val="none"/>
        </w:rPr>
        <w:t>。</w:t>
      </w:r>
    </w:p>
    <w:p w14:paraId="130FCF14">
      <w:pPr>
        <w:pStyle w:val="29"/>
        <w:ind w:firstLineChars="0"/>
        <w:rPr>
          <w:rFonts w:hint="eastAsia" w:ascii="宋体" w:hAnsi="宋体" w:eastAsia="宋体" w:cs="宋体"/>
          <w:highlight w:val="none"/>
        </w:rPr>
      </w:pPr>
      <w:r>
        <w:rPr>
          <w:rFonts w:hint="eastAsia" w:ascii="宋体" w:hAnsi="宋体" w:eastAsia="宋体" w:cs="宋体"/>
          <w:highlight w:val="none"/>
        </w:rPr>
        <w:t>2.2开标后再进入评标程序。</w:t>
      </w:r>
    </w:p>
    <w:p w14:paraId="78AFCACA">
      <w:pPr>
        <w:pStyle w:val="29"/>
        <w:ind w:firstLineChars="0"/>
        <w:rPr>
          <w:rFonts w:hint="eastAsia" w:ascii="宋体" w:hAnsi="宋体" w:eastAsia="宋体" w:cs="宋体"/>
          <w:highlight w:val="none"/>
        </w:rPr>
      </w:pPr>
      <w:r>
        <w:rPr>
          <w:rFonts w:hint="eastAsia" w:ascii="宋体" w:hAnsi="宋体" w:eastAsia="宋体" w:cs="宋体"/>
          <w:highlight w:val="none"/>
        </w:rPr>
        <w:t>2.3评标程序</w:t>
      </w:r>
    </w:p>
    <w:p w14:paraId="6B812344">
      <w:pPr>
        <w:pStyle w:val="29"/>
        <w:ind w:firstLine="420" w:firstLineChars="0"/>
        <w:rPr>
          <w:rFonts w:hint="eastAsia" w:ascii="宋体" w:hAnsi="宋体" w:eastAsia="宋体" w:cs="宋体"/>
          <w:highlight w:val="none"/>
        </w:rPr>
      </w:pPr>
      <w:r>
        <w:rPr>
          <w:rFonts w:hint="eastAsia" w:ascii="宋体" w:hAnsi="宋体" w:eastAsia="宋体" w:cs="宋体"/>
          <w:highlight w:val="none"/>
        </w:rPr>
        <w:t>1）竞标文件审查：开标后，评标小组先就竞标方竞标文件是否响应招标文件进行初步的符合性审查。</w:t>
      </w:r>
    </w:p>
    <w:p w14:paraId="773499B6">
      <w:pPr>
        <w:pStyle w:val="29"/>
        <w:ind w:firstLine="420" w:firstLineChars="0"/>
        <w:rPr>
          <w:rFonts w:hint="eastAsia" w:ascii="宋体" w:hAnsi="宋体" w:eastAsia="宋体" w:cs="宋体"/>
          <w:highlight w:val="none"/>
        </w:rPr>
      </w:pPr>
      <w:r>
        <w:rPr>
          <w:rFonts w:hint="eastAsia" w:ascii="宋体" w:hAnsi="宋体" w:eastAsia="宋体" w:cs="宋体"/>
          <w:highlight w:val="none"/>
        </w:rPr>
        <w:t>2）评标小组对竞标文件内容进行审查，对需要质询的地方，将及时通知竞标人进行答复，经确认质询问题得到答复后，开始对标书进行评审。</w:t>
      </w:r>
    </w:p>
    <w:p w14:paraId="421CD12A">
      <w:pPr>
        <w:pStyle w:val="29"/>
        <w:ind w:firstLine="420" w:firstLineChars="0"/>
        <w:rPr>
          <w:rFonts w:hint="eastAsia" w:ascii="宋体" w:hAnsi="宋体" w:eastAsia="宋体" w:cs="宋体"/>
          <w:highlight w:val="none"/>
        </w:rPr>
      </w:pPr>
      <w:r>
        <w:rPr>
          <w:rFonts w:hint="eastAsia" w:ascii="宋体" w:hAnsi="宋体" w:eastAsia="宋体" w:cs="宋体"/>
          <w:highlight w:val="none"/>
        </w:rPr>
        <w:t>3）对竞标单位的技术标、商务标等方面进行综合评定，并按下述“3、确定中标方”中规定进行评审。评标及评标中形成的文件资料</w:t>
      </w:r>
      <w:r>
        <w:rPr>
          <w:rFonts w:hint="eastAsia" w:ascii="宋体" w:hAnsi="宋体" w:cs="宋体"/>
          <w:highlight w:val="none"/>
          <w:lang w:val="en-US" w:eastAsia="zh-CN"/>
        </w:rPr>
        <w:t>一般应当</w:t>
      </w:r>
      <w:r>
        <w:rPr>
          <w:rFonts w:hint="eastAsia" w:ascii="宋体" w:hAnsi="宋体" w:eastAsia="宋体" w:cs="宋体"/>
          <w:highlight w:val="none"/>
        </w:rPr>
        <w:t>在开、评标现场进行。</w:t>
      </w:r>
    </w:p>
    <w:p w14:paraId="74A679F2">
      <w:pPr>
        <w:pStyle w:val="29"/>
        <w:ind w:firstLine="420" w:firstLineChars="0"/>
        <w:rPr>
          <w:rFonts w:hint="eastAsia" w:ascii="宋体" w:hAnsi="宋体" w:eastAsia="宋体" w:cs="宋体"/>
          <w:highlight w:val="none"/>
        </w:rPr>
      </w:pPr>
      <w:r>
        <w:rPr>
          <w:rFonts w:hint="eastAsia" w:ascii="宋体" w:hAnsi="宋体" w:eastAsia="宋体" w:cs="宋体"/>
          <w:highlight w:val="none"/>
        </w:rPr>
        <w:t>4）评标结果审批：评标小组将评标情况、中标建议名单及理由形成评标报告，由招标管理小组按公司审批流程和权限审批确定中标单位。</w:t>
      </w:r>
    </w:p>
    <w:p w14:paraId="2885179A">
      <w:pPr>
        <w:pStyle w:val="29"/>
        <w:ind w:firstLine="140" w:firstLineChars="67"/>
        <w:outlineLvl w:val="2"/>
        <w:rPr>
          <w:rFonts w:hint="eastAsia" w:ascii="宋体" w:hAnsi="宋体" w:eastAsia="宋体" w:cs="宋体"/>
          <w:highlight w:val="none"/>
        </w:rPr>
      </w:pPr>
      <w:r>
        <w:rPr>
          <w:rFonts w:hint="eastAsia" w:ascii="宋体" w:hAnsi="宋体" w:eastAsia="宋体" w:cs="宋体"/>
          <w:highlight w:val="none"/>
        </w:rPr>
        <w:t>2.4评标原则和规定</w:t>
      </w:r>
    </w:p>
    <w:p w14:paraId="058E3816">
      <w:pPr>
        <w:pStyle w:val="29"/>
        <w:ind w:firstLine="420" w:firstLineChars="0"/>
        <w:rPr>
          <w:rFonts w:hint="eastAsia" w:ascii="宋体" w:hAnsi="宋体" w:eastAsia="宋体" w:cs="宋体"/>
          <w:highlight w:val="none"/>
        </w:rPr>
      </w:pPr>
      <w:r>
        <w:rPr>
          <w:rFonts w:hint="eastAsia" w:ascii="宋体" w:hAnsi="宋体" w:eastAsia="宋体" w:cs="宋体"/>
          <w:highlight w:val="none"/>
        </w:rPr>
        <w:t>1）竞标文件不符合要求的或竞标方不符合竞标资格的，评标小组将直接确认为“废标”，并取消竞标方资格。</w:t>
      </w:r>
    </w:p>
    <w:p w14:paraId="17C4184C">
      <w:pPr>
        <w:pStyle w:val="29"/>
        <w:numPr>
          <w:ilvl w:val="0"/>
          <w:numId w:val="6"/>
        </w:numPr>
        <w:ind w:firstLineChars="0"/>
        <w:rPr>
          <w:rFonts w:hint="eastAsia" w:ascii="宋体" w:hAnsi="宋体" w:eastAsia="宋体" w:cs="宋体"/>
          <w:highlight w:val="none"/>
        </w:rPr>
      </w:pPr>
      <w:r>
        <w:rPr>
          <w:rFonts w:hint="eastAsia" w:ascii="宋体" w:hAnsi="宋体" w:eastAsia="宋体" w:cs="宋体"/>
          <w:highlight w:val="none"/>
        </w:rPr>
        <w:t>评标对所有竞标单位采用相同的程序和标准进行。</w:t>
      </w:r>
    </w:p>
    <w:p w14:paraId="323BA8FF">
      <w:pPr>
        <w:pStyle w:val="29"/>
        <w:numPr>
          <w:ilvl w:val="0"/>
          <w:numId w:val="6"/>
        </w:numPr>
        <w:ind w:firstLineChars="0"/>
        <w:rPr>
          <w:rFonts w:hint="eastAsia" w:ascii="宋体" w:hAnsi="宋体" w:eastAsia="宋体" w:cs="宋体"/>
          <w:highlight w:val="none"/>
        </w:rPr>
      </w:pPr>
      <w:r>
        <w:rPr>
          <w:rFonts w:hint="eastAsia" w:ascii="宋体" w:hAnsi="宋体" w:eastAsia="宋体" w:cs="宋体"/>
          <w:highlight w:val="none"/>
        </w:rPr>
        <w:t>评标工作小组将保守竞标文件中属于竞标单位的商业秘密。</w:t>
      </w:r>
    </w:p>
    <w:p w14:paraId="6F065BA9">
      <w:pPr>
        <w:pStyle w:val="29"/>
        <w:ind w:left="420" w:firstLine="0" w:firstLineChars="0"/>
        <w:rPr>
          <w:rFonts w:hint="eastAsia" w:ascii="宋体" w:hAnsi="宋体" w:eastAsia="宋体" w:cs="宋体"/>
          <w:highlight w:val="none"/>
        </w:rPr>
      </w:pPr>
      <w:r>
        <w:rPr>
          <w:rFonts w:hint="eastAsia" w:ascii="宋体" w:hAnsi="宋体" w:eastAsia="宋体" w:cs="宋体"/>
          <w:highlight w:val="none"/>
        </w:rPr>
        <w:t>4）评标工作小组要求竞标单位就竞标文件中含义不明确的内容进行必要的澄清、说明时，竞标单位必须按评标工作小组规定的时间和形式给予答复，但不得对竞标内容进行实质性变更。</w:t>
      </w:r>
    </w:p>
    <w:p w14:paraId="1E94A28B">
      <w:pPr>
        <w:pStyle w:val="29"/>
        <w:ind w:firstLine="420" w:firstLineChars="0"/>
        <w:rPr>
          <w:rFonts w:hint="eastAsia" w:ascii="宋体" w:hAnsi="宋体" w:eastAsia="宋体" w:cs="宋体"/>
          <w:highlight w:val="none"/>
        </w:rPr>
      </w:pPr>
      <w:r>
        <w:rPr>
          <w:rFonts w:hint="eastAsia" w:ascii="宋体" w:hAnsi="宋体" w:eastAsia="宋体" w:cs="宋体"/>
          <w:highlight w:val="none"/>
        </w:rPr>
        <w:t>5）竞标单位不得在最终评标结果公布前向评标工作小组成员询问情况，不得向评标工作小组成员赠送礼金、礼物或给予各种形式利益的承诺，否则将被取消本次及今后我司一切招标项目的竞标资格。</w:t>
      </w:r>
    </w:p>
    <w:p w14:paraId="7F8EC44A">
      <w:pPr>
        <w:pStyle w:val="29"/>
        <w:ind w:firstLine="420" w:firstLineChars="0"/>
        <w:rPr>
          <w:rFonts w:hint="eastAsia" w:ascii="宋体" w:hAnsi="宋体" w:eastAsia="宋体" w:cs="宋体"/>
          <w:highlight w:val="none"/>
        </w:rPr>
      </w:pPr>
      <w:r>
        <w:rPr>
          <w:rFonts w:hint="eastAsia" w:ascii="宋体" w:hAnsi="宋体" w:eastAsia="宋体" w:cs="宋体"/>
          <w:highlight w:val="none"/>
        </w:rPr>
        <w:t>6）竞标单位不得相互串通报价，不得排挤其它竞标单位的公平竞争，否则将被取消本次及今后我司一切招标项目的竞标资格。</w:t>
      </w:r>
    </w:p>
    <w:p w14:paraId="0CAD5AF1">
      <w:pPr>
        <w:pStyle w:val="30"/>
        <w:ind w:firstLine="0" w:firstLineChars="0"/>
        <w:outlineLvl w:val="1"/>
        <w:rPr>
          <w:rFonts w:hint="eastAsia" w:ascii="宋体" w:hAnsi="宋体" w:eastAsia="宋体" w:cs="宋体"/>
          <w:highlight w:val="none"/>
        </w:rPr>
      </w:pPr>
      <w:r>
        <w:rPr>
          <w:rFonts w:hint="eastAsia" w:ascii="宋体" w:hAnsi="宋体" w:eastAsia="宋体" w:cs="宋体"/>
          <w:highlight w:val="none"/>
        </w:rPr>
        <w:t>3、确定中标方</w:t>
      </w:r>
    </w:p>
    <w:p w14:paraId="4CD36D7C">
      <w:pPr>
        <w:pStyle w:val="29"/>
        <w:ind w:firstLineChars="0"/>
        <w:rPr>
          <w:rFonts w:hint="eastAsia" w:ascii="宋体" w:hAnsi="宋体" w:eastAsia="宋体" w:cs="宋体"/>
          <w:highlight w:val="none"/>
        </w:rPr>
      </w:pPr>
      <w:r>
        <w:rPr>
          <w:rFonts w:hint="eastAsia" w:ascii="宋体" w:hAnsi="宋体" w:eastAsia="宋体" w:cs="宋体"/>
          <w:highlight w:val="none"/>
        </w:rPr>
        <w:t>3.1评标小组成员经过竞标文件审查及内容质询后，对竞标单位的方案、竞标报价、性能描述、售后服务及资质等方面</w:t>
      </w:r>
      <w:r>
        <w:rPr>
          <w:rFonts w:hint="eastAsia" w:ascii="宋体" w:hAnsi="宋体" w:cs="宋体"/>
          <w:highlight w:val="none"/>
          <w:lang w:val="en-US" w:eastAsia="zh-CN"/>
        </w:rPr>
        <w:t>采用综合评价法</w:t>
      </w:r>
      <w:r>
        <w:rPr>
          <w:rFonts w:hint="eastAsia" w:ascii="宋体" w:hAnsi="宋体" w:eastAsia="宋体" w:cs="宋体"/>
          <w:highlight w:val="none"/>
        </w:rPr>
        <w:t>评标。</w:t>
      </w:r>
    </w:p>
    <w:p w14:paraId="65244A01">
      <w:pPr>
        <w:pStyle w:val="29"/>
        <w:ind w:firstLineChars="0"/>
        <w:outlineLvl w:val="2"/>
        <w:rPr>
          <w:rFonts w:hint="eastAsia" w:ascii="宋体" w:hAnsi="宋体" w:eastAsia="宋体" w:cs="宋体"/>
          <w:highlight w:val="none"/>
        </w:rPr>
      </w:pPr>
      <w:r>
        <w:rPr>
          <w:rFonts w:hint="eastAsia" w:ascii="宋体" w:hAnsi="宋体" w:eastAsia="宋体" w:cs="宋体"/>
          <w:highlight w:val="none"/>
        </w:rPr>
        <w:t>3.2结标</w:t>
      </w:r>
    </w:p>
    <w:p w14:paraId="5D8B9032">
      <w:pPr>
        <w:pStyle w:val="29"/>
        <w:numPr>
          <w:ilvl w:val="0"/>
          <w:numId w:val="7"/>
        </w:numPr>
        <w:ind w:firstLineChars="0"/>
        <w:rPr>
          <w:rFonts w:hint="eastAsia" w:ascii="宋体" w:hAnsi="宋体" w:eastAsia="宋体" w:cs="宋体"/>
          <w:highlight w:val="none"/>
        </w:rPr>
      </w:pPr>
      <w:r>
        <w:rPr>
          <w:rFonts w:hint="eastAsia" w:ascii="宋体" w:hAnsi="宋体" w:eastAsia="宋体" w:cs="宋体"/>
          <w:highlight w:val="none"/>
        </w:rPr>
        <w:t>按招标单位审批流程和权限审批确定中标单位。</w:t>
      </w:r>
    </w:p>
    <w:p w14:paraId="24250DB1">
      <w:pPr>
        <w:pStyle w:val="29"/>
        <w:numPr>
          <w:ilvl w:val="0"/>
          <w:numId w:val="7"/>
        </w:numPr>
        <w:ind w:firstLineChars="0"/>
        <w:rPr>
          <w:rFonts w:hint="eastAsia" w:ascii="宋体" w:hAnsi="宋体" w:eastAsia="宋体" w:cs="宋体"/>
          <w:highlight w:val="none"/>
        </w:rPr>
      </w:pPr>
      <w:r>
        <w:rPr>
          <w:rFonts w:hint="eastAsia" w:ascii="宋体" w:hAnsi="宋体" w:eastAsia="宋体" w:cs="宋体"/>
          <w:highlight w:val="none"/>
        </w:rPr>
        <w:t>招标结果由招标单位管理小组邮件和电话通知。招标方不向落</w:t>
      </w:r>
      <w:r>
        <w:rPr>
          <w:rFonts w:hint="eastAsia" w:ascii="宋体" w:hAnsi="宋体" w:eastAsia="宋体" w:cs="宋体"/>
          <w:highlight w:val="none"/>
          <w:lang w:val="en-US" w:eastAsia="zh-CN"/>
        </w:rPr>
        <w:t>标</w:t>
      </w:r>
      <w:r>
        <w:rPr>
          <w:rFonts w:hint="eastAsia" w:ascii="宋体" w:hAnsi="宋体" w:eastAsia="宋体" w:cs="宋体"/>
          <w:highlight w:val="none"/>
        </w:rPr>
        <w:t>方解释落标原因并不退还竞标文件。</w:t>
      </w:r>
    </w:p>
    <w:p w14:paraId="154A0C45">
      <w:pPr>
        <w:pStyle w:val="29"/>
        <w:ind w:left="200" w:firstLine="0" w:firstLineChars="0"/>
        <w:rPr>
          <w:rFonts w:hint="eastAsia" w:ascii="宋体" w:hAnsi="宋体" w:eastAsia="宋体" w:cs="宋体"/>
          <w:highlight w:val="none"/>
        </w:rPr>
      </w:pPr>
      <w:r>
        <w:rPr>
          <w:rFonts w:hint="eastAsia" w:ascii="宋体" w:hAnsi="宋体" w:eastAsia="宋体" w:cs="宋体"/>
          <w:highlight w:val="none"/>
        </w:rPr>
        <w:t>3）本次招标设立招标监督，竞标方对本次招竞标工作中存在的任何单位、人员旨在影响评标结果的活动均可</w:t>
      </w:r>
      <w:r>
        <w:rPr>
          <w:rFonts w:hint="eastAsia" w:ascii="宋体" w:hAnsi="宋体" w:eastAsia="宋体" w:cs="宋体"/>
          <w:highlight w:val="none"/>
          <w:lang w:val="en-US" w:eastAsia="zh-CN"/>
        </w:rPr>
        <w:t>向眉山琏升光伏科技有限公司相关部门</w:t>
      </w:r>
      <w:r>
        <w:rPr>
          <w:rFonts w:hint="eastAsia" w:ascii="宋体" w:hAnsi="宋体" w:eastAsia="宋体" w:cs="宋体"/>
          <w:highlight w:val="none"/>
        </w:rPr>
        <w:t>进行</w:t>
      </w:r>
      <w:r>
        <w:rPr>
          <w:rFonts w:hint="eastAsia" w:ascii="宋体" w:hAnsi="宋体" w:cs="宋体"/>
          <w:highlight w:val="none"/>
          <w:lang w:val="en-US" w:eastAsia="zh-CN"/>
        </w:rPr>
        <w:t>投诉和</w:t>
      </w:r>
      <w:r>
        <w:rPr>
          <w:rFonts w:hint="eastAsia" w:ascii="宋体" w:hAnsi="宋体" w:eastAsia="宋体" w:cs="宋体"/>
          <w:highlight w:val="none"/>
        </w:rPr>
        <w:t>举报</w:t>
      </w:r>
      <w:r>
        <w:rPr>
          <w:rFonts w:hint="eastAsia" w:ascii="宋体" w:hAnsi="宋体" w:eastAsia="宋体" w:cs="宋体"/>
          <w:highlight w:val="none"/>
          <w:lang w:eastAsia="zh-CN"/>
        </w:rPr>
        <w:t>，</w:t>
      </w:r>
      <w:r>
        <w:rPr>
          <w:rFonts w:hint="eastAsia" w:ascii="宋体" w:hAnsi="宋体" w:cs="宋体"/>
          <w:highlight w:val="none"/>
          <w:lang w:val="en-US" w:eastAsia="zh-CN"/>
        </w:rPr>
        <w:t>投诉</w:t>
      </w:r>
      <w:r>
        <w:rPr>
          <w:rFonts w:hint="eastAsia" w:ascii="宋体" w:hAnsi="宋体" w:eastAsia="宋体" w:cs="宋体"/>
          <w:highlight w:val="none"/>
          <w:lang w:val="en-US" w:eastAsia="zh-CN"/>
        </w:rPr>
        <w:t>举报邮箱：CS@leascend.com或ComplianceSupervision@leascend.com</w:t>
      </w:r>
      <w:r>
        <w:rPr>
          <w:rFonts w:hint="eastAsia" w:ascii="宋体" w:hAnsi="宋体" w:eastAsia="宋体" w:cs="宋体"/>
          <w:highlight w:val="none"/>
        </w:rPr>
        <w:t>。</w:t>
      </w:r>
    </w:p>
    <w:p w14:paraId="2CAA7FD3">
      <w:pPr>
        <w:pStyle w:val="30"/>
        <w:ind w:firstLine="0" w:firstLineChars="0"/>
        <w:outlineLvl w:val="1"/>
        <w:rPr>
          <w:rFonts w:hint="eastAsia" w:ascii="宋体" w:hAnsi="宋体" w:eastAsia="宋体" w:cs="宋体"/>
          <w:highlight w:val="none"/>
        </w:rPr>
      </w:pPr>
      <w:r>
        <w:rPr>
          <w:rFonts w:hint="eastAsia" w:ascii="宋体" w:hAnsi="宋体" w:eastAsia="宋体" w:cs="宋体"/>
          <w:highlight w:val="none"/>
        </w:rPr>
        <w:t>4、竞标费用</w:t>
      </w:r>
    </w:p>
    <w:p w14:paraId="099FE041">
      <w:pPr>
        <w:pStyle w:val="29"/>
        <w:ind w:firstLine="0" w:firstLineChars="0"/>
        <w:rPr>
          <w:rFonts w:hint="eastAsia" w:ascii="宋体" w:hAnsi="宋体" w:eastAsia="宋体" w:cs="宋体"/>
          <w:highlight w:val="none"/>
        </w:rPr>
      </w:pPr>
      <w:r>
        <w:rPr>
          <w:rFonts w:hint="eastAsia" w:ascii="宋体" w:hAnsi="宋体" w:eastAsia="宋体" w:cs="宋体"/>
          <w:highlight w:val="none"/>
        </w:rPr>
        <w:t>竞标方应承担所有与准备和参加竞标有关的费用，不论竞标的结果如何，所有费用均由竞标方承担。</w:t>
      </w:r>
    </w:p>
    <w:p w14:paraId="05B07E2B">
      <w:pPr>
        <w:pStyle w:val="30"/>
        <w:numPr>
          <w:ilvl w:val="-1"/>
          <w:numId w:val="0"/>
        </w:numPr>
        <w:ind w:left="0" w:firstLine="0" w:firstLineChars="0"/>
        <w:outlineLvl w:val="1"/>
        <w:rPr>
          <w:rFonts w:hint="eastAsia" w:ascii="宋体" w:hAnsi="宋体" w:eastAsia="宋体" w:cs="宋体"/>
          <w:highlight w:val="none"/>
        </w:rPr>
      </w:pPr>
      <w:r>
        <w:rPr>
          <w:rFonts w:hint="eastAsia" w:ascii="宋体" w:hAnsi="宋体" w:cs="宋体"/>
          <w:color w:val="auto"/>
          <w:highlight w:val="none"/>
          <w:lang w:val="en-US" w:eastAsia="zh-CN"/>
        </w:rPr>
        <w:t>*5、</w:t>
      </w:r>
      <w:r>
        <w:rPr>
          <w:rFonts w:hint="eastAsia" w:ascii="宋体" w:hAnsi="宋体" w:eastAsia="宋体" w:cs="宋体"/>
          <w:highlight w:val="none"/>
        </w:rPr>
        <w:t>授予合同</w:t>
      </w:r>
    </w:p>
    <w:p w14:paraId="6427FE85">
      <w:pPr>
        <w:pStyle w:val="29"/>
        <w:ind w:firstLine="360" w:firstLineChars="0"/>
        <w:rPr>
          <w:rFonts w:hint="eastAsia" w:ascii="宋体" w:hAnsi="宋体" w:eastAsia="宋体" w:cs="宋体"/>
          <w:highlight w:val="none"/>
        </w:rPr>
      </w:pPr>
      <w:r>
        <w:rPr>
          <w:rFonts w:hint="eastAsia" w:ascii="宋体" w:hAnsi="宋体" w:eastAsia="宋体" w:cs="宋体"/>
          <w:highlight w:val="none"/>
        </w:rPr>
        <w:t>5.1中标通知：根据定标结果，招标人将向中标人发出《中标通知书》。</w:t>
      </w:r>
    </w:p>
    <w:p w14:paraId="4349DEB6">
      <w:pPr>
        <w:pStyle w:val="29"/>
        <w:ind w:left="360" w:firstLine="0" w:firstLineChars="0"/>
        <w:outlineLvl w:val="2"/>
        <w:rPr>
          <w:rFonts w:hint="eastAsia" w:ascii="宋体" w:hAnsi="宋体" w:eastAsia="宋体" w:cs="宋体"/>
          <w:highlight w:val="none"/>
        </w:rPr>
      </w:pPr>
      <w:r>
        <w:rPr>
          <w:rFonts w:hint="eastAsia" w:ascii="宋体" w:hAnsi="宋体" w:eastAsia="宋体" w:cs="宋体"/>
          <w:highlight w:val="none"/>
        </w:rPr>
        <w:t>5.2 签约</w:t>
      </w:r>
    </w:p>
    <w:p w14:paraId="003D3E83">
      <w:pPr>
        <w:pStyle w:val="29"/>
        <w:ind w:left="360" w:firstLine="0" w:firstLineChars="0"/>
        <w:rPr>
          <w:rFonts w:hint="eastAsia" w:ascii="宋体" w:hAnsi="宋体" w:eastAsia="宋体" w:cs="宋体"/>
          <w:highlight w:val="none"/>
        </w:rPr>
      </w:pPr>
      <w:r>
        <w:rPr>
          <w:rFonts w:hint="eastAsia" w:ascii="宋体" w:hAnsi="宋体" w:eastAsia="宋体" w:cs="宋体"/>
          <w:highlight w:val="none"/>
        </w:rPr>
        <w:t>5.2.1中标人在接到《中标通知书》后，必须在7个工作日内，派遣授权代表与招标人进行合同谈判、草签合同，10 个工作日内必须签订正式合同。中标人不得对合同价格、合同条款、技术要求和供货范围等内容与</w:t>
      </w:r>
      <w:r>
        <w:rPr>
          <w:rFonts w:hint="eastAsia" w:ascii="宋体" w:hAnsi="宋体" w:cs="宋体"/>
          <w:color w:val="auto"/>
          <w:highlight w:val="none"/>
        </w:rPr>
        <w:t>竞争性谈判文件、投标文件、澄清文件等相关文件</w:t>
      </w:r>
      <w:r>
        <w:rPr>
          <w:rFonts w:hint="eastAsia" w:ascii="宋体" w:hAnsi="宋体" w:eastAsia="宋体" w:cs="宋体"/>
          <w:highlight w:val="none"/>
        </w:rPr>
        <w:t>有任何实质性改变，如果上述内容发生重大变动，且不符合招标人的要求时，招标人有权终止与中标人签约</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且不承担任何违约或缔约过失责任</w:t>
      </w:r>
      <w:r>
        <w:rPr>
          <w:rFonts w:hint="eastAsia" w:ascii="宋体" w:hAnsi="宋体" w:eastAsia="宋体" w:cs="宋体"/>
          <w:highlight w:val="none"/>
        </w:rPr>
        <w:t>。</w:t>
      </w:r>
    </w:p>
    <w:p w14:paraId="5B4F6FC3">
      <w:pPr>
        <w:pStyle w:val="29"/>
        <w:ind w:left="360" w:firstLine="0" w:firstLineChars="0"/>
        <w:rPr>
          <w:rFonts w:hint="eastAsia" w:ascii="宋体" w:hAnsi="宋体" w:eastAsia="宋体" w:cs="宋体"/>
          <w:highlight w:val="none"/>
        </w:rPr>
      </w:pPr>
      <w:r>
        <w:rPr>
          <w:rFonts w:hint="eastAsia" w:ascii="宋体" w:hAnsi="宋体" w:eastAsia="宋体" w:cs="宋体"/>
          <w:highlight w:val="none"/>
        </w:rPr>
        <w:t>5.2.2合同签订时或合同生效后，招标人有权按竞标书各项</w:t>
      </w:r>
      <w:r>
        <w:rPr>
          <w:rFonts w:hint="eastAsia" w:ascii="宋体" w:hAnsi="宋体" w:cs="宋体"/>
          <w:highlight w:val="none"/>
          <w:lang w:val="en-US" w:eastAsia="zh-CN"/>
        </w:rPr>
        <w:t>内容/</w:t>
      </w:r>
      <w:r>
        <w:rPr>
          <w:rFonts w:hint="eastAsia" w:ascii="宋体" w:hAnsi="宋体" w:eastAsia="宋体" w:cs="宋体"/>
          <w:highlight w:val="none"/>
        </w:rPr>
        <w:t>单价增加或减少任何一项或多项的数量，合同</w:t>
      </w:r>
      <w:r>
        <w:rPr>
          <w:rFonts w:hint="eastAsia" w:ascii="宋体" w:hAnsi="宋体" w:cs="宋体"/>
          <w:highlight w:val="none"/>
          <w:lang w:val="en-US" w:eastAsia="zh-CN"/>
        </w:rPr>
        <w:t>内容/</w:t>
      </w:r>
      <w:r>
        <w:rPr>
          <w:rFonts w:hint="eastAsia" w:ascii="宋体" w:hAnsi="宋体" w:eastAsia="宋体" w:cs="宋体"/>
          <w:highlight w:val="none"/>
        </w:rPr>
        <w:t>价格可做相应调整</w:t>
      </w:r>
      <w:r>
        <w:rPr>
          <w:rFonts w:hint="eastAsia" w:ascii="宋体" w:hAnsi="宋体" w:cs="宋体"/>
          <w:kern w:val="0"/>
          <w:szCs w:val="21"/>
          <w:lang w:eastAsia="zh-CN"/>
        </w:rPr>
        <w:t>，</w:t>
      </w:r>
      <w:r>
        <w:rPr>
          <w:rFonts w:hint="eastAsia" w:ascii="宋体" w:hAnsi="宋体" w:cs="宋体"/>
          <w:kern w:val="0"/>
          <w:szCs w:val="21"/>
          <w:lang w:val="en-US" w:eastAsia="zh-CN"/>
        </w:rPr>
        <w:t>不视为对招投标文件内容的实质性变更</w:t>
      </w:r>
      <w:r>
        <w:rPr>
          <w:rFonts w:hint="eastAsia" w:ascii="宋体" w:hAnsi="宋体" w:eastAsia="宋体" w:cs="宋体"/>
          <w:highlight w:val="none"/>
        </w:rPr>
        <w:t>。</w:t>
      </w:r>
    </w:p>
    <w:p w14:paraId="27BE6818">
      <w:pPr>
        <w:pStyle w:val="29"/>
        <w:ind w:left="360" w:firstLine="0" w:firstLineChars="0"/>
        <w:rPr>
          <w:rFonts w:hint="eastAsia" w:ascii="宋体" w:hAnsi="宋体" w:eastAsia="宋体" w:cs="宋体"/>
          <w:highlight w:val="none"/>
        </w:rPr>
      </w:pPr>
      <w:r>
        <w:rPr>
          <w:rFonts w:hint="eastAsia" w:ascii="宋体" w:hAnsi="宋体" w:eastAsia="宋体" w:cs="宋体"/>
          <w:highlight w:val="none"/>
        </w:rPr>
        <w:t>5.2.3在合同签订后，招标人有权提出因规范标准、规程发生变化而产生的一些补充要求，竞标人应按这些要求执行。</w:t>
      </w:r>
    </w:p>
    <w:p w14:paraId="21B44E62">
      <w:pPr>
        <w:pStyle w:val="29"/>
        <w:ind w:left="360" w:firstLine="0" w:firstLineChars="0"/>
        <w:rPr>
          <w:rFonts w:hint="eastAsia" w:ascii="宋体" w:hAnsi="宋体" w:eastAsia="宋体" w:cs="宋体"/>
          <w:highlight w:val="none"/>
        </w:rPr>
      </w:pPr>
      <w:r>
        <w:rPr>
          <w:rFonts w:hint="eastAsia" w:ascii="宋体" w:hAnsi="宋体" w:eastAsia="宋体" w:cs="宋体"/>
          <w:highlight w:val="none"/>
        </w:rPr>
        <w:t>5.2.4 如果招标人在签约过程中认为中标人不具备履行合同的能力，招标人有权终止与其签约，并将其竞标废弃。在这种情况下，招标人将选择下一个备选中标人，并做出同样的判定。招标人最终将把合同授予被确认为有能力履行合同义务的中标人。</w:t>
      </w:r>
    </w:p>
    <w:p w14:paraId="7AF68BB5">
      <w:pPr>
        <w:pStyle w:val="29"/>
        <w:ind w:left="360" w:firstLine="0" w:firstLineChars="0"/>
        <w:rPr>
          <w:rFonts w:hint="eastAsia" w:ascii="宋体" w:hAnsi="宋体" w:eastAsia="宋体" w:cs="宋体"/>
          <w:highlight w:val="none"/>
        </w:rPr>
      </w:pPr>
      <w:r>
        <w:rPr>
          <w:rFonts w:hint="eastAsia" w:ascii="宋体" w:hAnsi="宋体" w:eastAsia="宋体" w:cs="宋体"/>
          <w:highlight w:val="none"/>
        </w:rPr>
        <w:t>5.2.5 在签约过程中或合同生效后，招标人有权对招标文件中规定的设计方案和设备范围进行适当变动和局部增减，相关价格变动将酌情考虑。但如果发生由于竞标人的报价失误而导致的价格变动，招标人将不予接受。</w:t>
      </w:r>
    </w:p>
    <w:p w14:paraId="716AD6AB">
      <w:pPr>
        <w:pStyle w:val="29"/>
        <w:ind w:left="360" w:firstLine="0" w:firstLineChars="0"/>
        <w:rPr>
          <w:rFonts w:hint="eastAsia" w:ascii="宋体" w:hAnsi="宋体" w:eastAsia="宋体" w:cs="宋体"/>
          <w:highlight w:val="none"/>
        </w:rPr>
      </w:pPr>
      <w:r>
        <w:rPr>
          <w:rFonts w:hint="eastAsia" w:ascii="宋体" w:hAnsi="宋体" w:eastAsia="宋体" w:cs="宋体"/>
          <w:highlight w:val="none"/>
        </w:rPr>
        <w:t>5.2.6 中标单位务必在合同生效后10个工作日内，核对招标文件中所附洞孔图的位置、尺寸是否与</w:t>
      </w:r>
      <w:r>
        <w:rPr>
          <w:rFonts w:hint="eastAsia" w:ascii="宋体" w:hAnsi="宋体" w:eastAsia="宋体" w:cs="宋体"/>
          <w:highlight w:val="none"/>
          <w:lang w:val="en-US" w:eastAsia="zh-CN"/>
        </w:rPr>
        <w:t>招标人</w:t>
      </w:r>
      <w:r>
        <w:rPr>
          <w:rFonts w:hint="eastAsia" w:ascii="宋体" w:hAnsi="宋体" w:eastAsia="宋体" w:cs="宋体"/>
          <w:highlight w:val="none"/>
        </w:rPr>
        <w:t>的设备安装要求相符合，以便招标人及时通知土建承建商在施工过程中予以变更。逾期未书面通知招标人变更洞孔图，则视为同意招标人所提供的图纸内容。设备安装过程中，如因竞标人未及时通知招标人变更洞孔位置和尺寸导致的返工费用，由竞标人承担。</w:t>
      </w:r>
    </w:p>
    <w:p w14:paraId="3D9C500B">
      <w:pPr>
        <w:widowControl/>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68F555F6">
      <w:pPr>
        <w:pStyle w:val="28"/>
        <w:numPr>
          <w:ilvl w:val="-1"/>
          <w:numId w:val="0"/>
        </w:numPr>
        <w:snapToGrid w:val="0"/>
        <w:ind w:left="0" w:firstLine="0" w:firstLineChars="0"/>
        <w:jc w:val="center"/>
        <w:outlineLvl w:val="0"/>
        <w:rPr>
          <w:rFonts w:hint="eastAsia" w:ascii="宋体" w:hAnsi="宋体" w:eastAsia="宋体" w:cs="宋体"/>
          <w:b/>
          <w:bCs/>
          <w:sz w:val="32"/>
          <w:szCs w:val="32"/>
          <w:highlight w:val="none"/>
        </w:rPr>
      </w:pPr>
      <w:bookmarkStart w:id="15" w:name="_Toc115362802"/>
      <w:bookmarkStart w:id="16" w:name="_Toc115362486"/>
      <w:bookmarkStart w:id="17" w:name="_Toc115362583"/>
      <w:bookmarkStart w:id="18" w:name="_Toc115424828"/>
      <w:r>
        <w:rPr>
          <w:rFonts w:hint="eastAsia" w:ascii="宋体" w:hAnsi="宋体" w:eastAsia="宋体" w:cs="宋体"/>
          <w:b/>
          <w:bCs/>
          <w:color w:val="auto"/>
          <w:sz w:val="32"/>
          <w:szCs w:val="32"/>
          <w:highlight w:val="none"/>
          <w:lang w:val="en-US" w:eastAsia="zh-CN"/>
        </w:rPr>
        <w:t xml:space="preserve">*第四章 </w:t>
      </w:r>
      <w:r>
        <w:rPr>
          <w:rFonts w:hint="eastAsia" w:ascii="宋体" w:hAnsi="宋体" w:eastAsia="宋体" w:cs="宋体"/>
          <w:b/>
          <w:bCs/>
          <w:sz w:val="32"/>
          <w:szCs w:val="32"/>
          <w:highlight w:val="none"/>
        </w:rPr>
        <w:t>技术要求</w:t>
      </w:r>
      <w:bookmarkEnd w:id="15"/>
      <w:bookmarkEnd w:id="16"/>
      <w:bookmarkEnd w:id="17"/>
      <w:bookmarkEnd w:id="18"/>
    </w:p>
    <w:p w14:paraId="375DCA83">
      <w:pPr>
        <w:widowControl/>
        <w:numPr>
          <w:ilvl w:val="0"/>
          <w:numId w:val="0"/>
        </w:numPr>
        <w:snapToGrid w:val="0"/>
        <w:ind w:leftChars="0"/>
        <w:jc w:val="both"/>
        <w:outlineLvl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val="en-US" w:eastAsia="zh-CN"/>
        </w:rPr>
        <w:t>详附件</w:t>
      </w:r>
      <w:r>
        <w:rPr>
          <w:rFonts w:hint="eastAsia" w:ascii="宋体" w:hAnsi="宋体" w:eastAsia="宋体" w:cs="宋体"/>
          <w:b/>
          <w:bCs/>
          <w:sz w:val="32"/>
          <w:szCs w:val="32"/>
          <w:highlight w:val="none"/>
        </w:rPr>
        <w:br w:type="page"/>
      </w:r>
      <w:bookmarkStart w:id="19" w:name="_Toc115362803"/>
      <w:bookmarkStart w:id="20" w:name="_Toc115362487"/>
      <w:bookmarkStart w:id="21" w:name="_Toc115362584"/>
      <w:bookmarkStart w:id="22" w:name="_Toc115424829"/>
      <w:r>
        <w:rPr>
          <w:rFonts w:hint="eastAsia" w:ascii="宋体" w:hAnsi="宋体" w:eastAsia="宋体" w:cs="宋体"/>
          <w:b/>
          <w:bCs/>
          <w:sz w:val="32"/>
          <w:szCs w:val="32"/>
          <w:highlight w:val="none"/>
          <w:lang w:val="en-US" w:eastAsia="zh-CN"/>
        </w:rPr>
        <w:t xml:space="preserve">第五章 </w:t>
      </w:r>
      <w:r>
        <w:rPr>
          <w:rFonts w:hint="eastAsia" w:ascii="宋体" w:hAnsi="宋体" w:eastAsia="宋体" w:cs="宋体"/>
          <w:b/>
          <w:bCs/>
          <w:sz w:val="32"/>
          <w:szCs w:val="32"/>
          <w:highlight w:val="none"/>
        </w:rPr>
        <w:t>附件</w:t>
      </w:r>
      <w:bookmarkEnd w:id="19"/>
      <w:bookmarkEnd w:id="20"/>
      <w:bookmarkEnd w:id="21"/>
      <w:bookmarkEnd w:id="22"/>
    </w:p>
    <w:p w14:paraId="6C0D5150">
      <w:pPr>
        <w:pStyle w:val="30"/>
        <w:ind w:firstLine="0" w:firstLineChars="0"/>
        <w:outlineLvl w:val="1"/>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附件1</w:t>
      </w:r>
    </w:p>
    <w:p w14:paraId="152FABC2">
      <w:pPr>
        <w:pStyle w:val="29"/>
        <w:ind w:firstLine="422"/>
        <w:jc w:val="center"/>
        <w:outlineLvl w:val="1"/>
        <w:rPr>
          <w:rFonts w:hint="eastAsia" w:ascii="宋体" w:hAnsi="宋体" w:eastAsia="宋体" w:cs="宋体"/>
          <w:b/>
          <w:sz w:val="32"/>
          <w:szCs w:val="32"/>
          <w:highlight w:val="none"/>
        </w:rPr>
      </w:pPr>
      <w:bookmarkStart w:id="23" w:name="_Toc115362585"/>
      <w:bookmarkStart w:id="24" w:name="_Toc115424830"/>
      <w:bookmarkStart w:id="25" w:name="_Toc115362488"/>
      <w:bookmarkStart w:id="26" w:name="_Toc115362804"/>
      <w:r>
        <w:rPr>
          <w:rFonts w:hint="eastAsia" w:ascii="宋体" w:hAnsi="宋体" w:eastAsia="宋体" w:cs="宋体"/>
          <w:b/>
          <w:sz w:val="32"/>
          <w:szCs w:val="32"/>
          <w:highlight w:val="none"/>
        </w:rPr>
        <w:t>竞标书</w:t>
      </w:r>
      <w:bookmarkEnd w:id="23"/>
      <w:bookmarkEnd w:id="24"/>
      <w:bookmarkEnd w:id="25"/>
      <w:bookmarkEnd w:id="26"/>
    </w:p>
    <w:p w14:paraId="5CAEA6A5">
      <w:pPr>
        <w:pStyle w:val="29"/>
        <w:ind w:firstLine="0" w:firstLineChars="0"/>
        <w:rPr>
          <w:rFonts w:hint="eastAsia" w:ascii="宋体" w:hAnsi="宋体" w:eastAsia="宋体" w:cs="宋体"/>
          <w:highlight w:val="none"/>
        </w:rPr>
      </w:pPr>
    </w:p>
    <w:p w14:paraId="746F3FD3">
      <w:pPr>
        <w:pStyle w:val="29"/>
        <w:ind w:firstLine="0" w:firstLineChars="0"/>
        <w:rPr>
          <w:rFonts w:hint="eastAsia" w:ascii="宋体" w:hAnsi="宋体" w:eastAsia="宋体" w:cs="宋体"/>
          <w:highlight w:val="none"/>
        </w:rPr>
      </w:pPr>
      <w:r>
        <w:rPr>
          <w:rFonts w:hint="eastAsia" w:ascii="宋体" w:hAnsi="宋体" w:eastAsia="宋体" w:cs="宋体"/>
          <w:highlight w:val="none"/>
          <w:lang w:eastAsia="zh-CN"/>
        </w:rPr>
        <w:t>眉山琏升光伏科技有限公司</w:t>
      </w:r>
      <w:r>
        <w:rPr>
          <w:rFonts w:hint="eastAsia" w:ascii="宋体" w:hAnsi="宋体" w:eastAsia="宋体" w:cs="宋体"/>
          <w:highlight w:val="none"/>
        </w:rPr>
        <w:t>：</w:t>
      </w:r>
    </w:p>
    <w:p w14:paraId="16E5E95B">
      <w:pPr>
        <w:pStyle w:val="29"/>
        <w:ind w:firstLine="420"/>
        <w:rPr>
          <w:rFonts w:hint="eastAsia" w:ascii="宋体" w:hAnsi="宋体" w:eastAsia="宋体" w:cs="宋体"/>
          <w:highlight w:val="none"/>
        </w:rPr>
      </w:pPr>
      <w:r>
        <w:rPr>
          <w:rFonts w:hint="eastAsia" w:ascii="宋体" w:hAnsi="宋体" w:eastAsia="宋体" w:cs="宋体"/>
          <w:highlight w:val="none"/>
        </w:rPr>
        <w:t>1、根据已收到</w:t>
      </w:r>
      <w:r>
        <w:rPr>
          <w:rFonts w:hint="eastAsia" w:ascii="宋体" w:hAnsi="宋体" w:eastAsia="宋体" w:cs="宋体"/>
          <w:highlight w:val="none"/>
          <w:u w:val="single"/>
        </w:rPr>
        <w:t xml:space="preserve">          </w:t>
      </w:r>
      <w:r>
        <w:rPr>
          <w:rFonts w:hint="eastAsia" w:ascii="宋体" w:hAnsi="宋体" w:eastAsia="宋体" w:cs="宋体"/>
          <w:highlight w:val="none"/>
        </w:rPr>
        <w:t>项目的招标文件，我方经阅读并研究上述项目招标文件的竞标须知、技术要求、进度要求及其它有关文件后，我方愿以人民币（大写）</w:t>
      </w:r>
      <w:r>
        <w:rPr>
          <w:rFonts w:hint="eastAsia" w:ascii="宋体" w:hAnsi="宋体" w:eastAsia="宋体" w:cs="宋体"/>
          <w:highlight w:val="none"/>
          <w:u w:val="single"/>
        </w:rPr>
        <w:t xml:space="preserve">          </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）的总价，在满足招标文件中所列该项目项目技术和商务要求的前提下，</w:t>
      </w:r>
      <w:r>
        <w:rPr>
          <w:rFonts w:hint="eastAsia" w:ascii="宋体" w:hAnsi="宋体" w:cs="宋体"/>
          <w:color w:val="auto"/>
          <w:highlight w:val="none"/>
        </w:rPr>
        <w:t>承</w:t>
      </w:r>
      <w:r>
        <w:rPr>
          <w:rFonts w:hint="eastAsia" w:ascii="宋体" w:hAnsi="宋体" w:cs="宋体"/>
          <w:color w:val="auto"/>
          <w:highlight w:val="none"/>
          <w:lang w:val="en-US" w:eastAsia="zh-CN"/>
        </w:rPr>
        <w:t>包</w:t>
      </w:r>
      <w:r>
        <w:rPr>
          <w:rFonts w:hint="eastAsia" w:ascii="宋体" w:hAnsi="宋体" w:eastAsia="宋体" w:cs="宋体"/>
          <w:highlight w:val="none"/>
        </w:rPr>
        <w:t>该项目的设备制作、运输、安装、调试和售后服务等工作。</w:t>
      </w:r>
    </w:p>
    <w:p w14:paraId="37D26F20">
      <w:pPr>
        <w:pStyle w:val="29"/>
        <w:ind w:firstLine="420"/>
        <w:rPr>
          <w:rFonts w:hint="eastAsia" w:ascii="宋体" w:hAnsi="宋体" w:eastAsia="宋体" w:cs="宋体"/>
          <w:highlight w:val="none"/>
        </w:rPr>
      </w:pPr>
      <w:r>
        <w:rPr>
          <w:rFonts w:hint="eastAsia" w:ascii="宋体" w:hAnsi="宋体" w:eastAsia="宋体" w:cs="宋体"/>
          <w:highlight w:val="none"/>
        </w:rPr>
        <w:t>2、提供竞标须知中规定的全部竞标文件，其中商务标、技术标、开标一览表正本一份、副本</w:t>
      </w:r>
      <w:r>
        <w:rPr>
          <w:rFonts w:hint="eastAsia" w:ascii="宋体" w:hAnsi="宋体" w:cs="宋体"/>
          <w:highlight w:val="none"/>
          <w:lang w:val="en-US" w:eastAsia="zh-CN"/>
        </w:rPr>
        <w:t>五</w:t>
      </w:r>
      <w:r>
        <w:rPr>
          <w:rFonts w:hint="eastAsia" w:ascii="宋体" w:hAnsi="宋体" w:eastAsia="宋体" w:cs="宋体"/>
          <w:highlight w:val="none"/>
        </w:rPr>
        <w:t>份，竞标文件电子版U盘一份，保密协议一份。</w:t>
      </w:r>
    </w:p>
    <w:p w14:paraId="6403112A">
      <w:pPr>
        <w:pStyle w:val="29"/>
        <w:ind w:firstLine="420"/>
        <w:rPr>
          <w:rFonts w:hint="eastAsia" w:ascii="宋体" w:hAnsi="宋体" w:eastAsia="宋体" w:cs="宋体"/>
          <w:highlight w:val="none"/>
        </w:rPr>
      </w:pPr>
      <w:r>
        <w:rPr>
          <w:rFonts w:hint="eastAsia" w:ascii="宋体" w:hAnsi="宋体" w:eastAsia="宋体" w:cs="宋体"/>
          <w:highlight w:val="none"/>
        </w:rPr>
        <w:t>3、保证遵守</w:t>
      </w:r>
      <w:r>
        <w:rPr>
          <w:rFonts w:hint="eastAsia" w:ascii="宋体" w:hAnsi="宋体" w:cs="宋体"/>
          <w:color w:val="auto"/>
          <w:highlight w:val="none"/>
          <w:lang w:val="en-US" w:eastAsia="zh-CN"/>
        </w:rPr>
        <w:t>竞争性谈判</w:t>
      </w:r>
      <w:r>
        <w:rPr>
          <w:rFonts w:hint="eastAsia" w:ascii="宋体" w:hAnsi="宋体" w:eastAsia="宋体" w:cs="宋体"/>
          <w:highlight w:val="none"/>
        </w:rPr>
        <w:t>文件中的有关规定。</w:t>
      </w:r>
    </w:p>
    <w:p w14:paraId="0C608B09">
      <w:pPr>
        <w:pStyle w:val="29"/>
        <w:ind w:firstLine="420"/>
        <w:rPr>
          <w:rFonts w:hint="eastAsia" w:ascii="宋体" w:hAnsi="宋体" w:eastAsia="宋体" w:cs="宋体"/>
          <w:highlight w:val="none"/>
        </w:rPr>
      </w:pPr>
      <w:r>
        <w:rPr>
          <w:rFonts w:hint="eastAsia" w:ascii="宋体" w:hAnsi="宋体" w:eastAsia="宋体" w:cs="宋体"/>
          <w:highlight w:val="none"/>
        </w:rPr>
        <w:t>4、保证按《中华人民共和国民法典》履行合同规定的责任和义务。</w:t>
      </w:r>
    </w:p>
    <w:p w14:paraId="5DFA2EA7">
      <w:pPr>
        <w:pStyle w:val="29"/>
        <w:ind w:firstLine="420"/>
        <w:rPr>
          <w:rFonts w:hint="eastAsia" w:ascii="宋体" w:hAnsi="宋体" w:eastAsia="宋体" w:cs="宋体"/>
          <w:highlight w:val="none"/>
        </w:rPr>
      </w:pPr>
      <w:r>
        <w:rPr>
          <w:rFonts w:hint="eastAsia" w:ascii="宋体" w:hAnsi="宋体" w:eastAsia="宋体" w:cs="宋体"/>
          <w:highlight w:val="none"/>
        </w:rPr>
        <w:t>5、愿意向贵方提供任何与该项目竞标有关的数据、情况和技术资料。</w:t>
      </w:r>
    </w:p>
    <w:p w14:paraId="2F38FEFF">
      <w:pPr>
        <w:pStyle w:val="29"/>
        <w:ind w:firstLine="420"/>
        <w:rPr>
          <w:rFonts w:hint="eastAsia" w:ascii="宋体" w:hAnsi="宋体" w:eastAsia="宋体" w:cs="宋体"/>
          <w:highlight w:val="none"/>
        </w:rPr>
      </w:pPr>
      <w:r>
        <w:rPr>
          <w:rFonts w:hint="eastAsia" w:ascii="宋体" w:hAnsi="宋体" w:eastAsia="宋体" w:cs="宋体"/>
          <w:highlight w:val="none"/>
        </w:rPr>
        <w:t>6、一旦我方中标，我方保证</w:t>
      </w:r>
      <w:r>
        <w:rPr>
          <w:rFonts w:hint="eastAsia" w:ascii="宋体" w:hAnsi="宋体" w:cs="宋体"/>
          <w:color w:val="auto"/>
          <w:highlight w:val="none"/>
          <w:lang w:val="en-US" w:eastAsia="zh-CN"/>
        </w:rPr>
        <w:t>按照合同约定或贵司要求的时间按时、按质、按量完成工作</w:t>
      </w:r>
      <w:r>
        <w:rPr>
          <w:rFonts w:hint="eastAsia" w:ascii="宋体" w:hAnsi="宋体" w:eastAsia="宋体" w:cs="宋体"/>
          <w:highlight w:val="none"/>
        </w:rPr>
        <w:t>，且质量标准</w:t>
      </w:r>
      <w:r>
        <w:rPr>
          <w:rFonts w:hint="eastAsia" w:ascii="宋体" w:hAnsi="宋体" w:eastAsia="宋体" w:cs="宋体"/>
          <w:highlight w:val="none"/>
          <w:lang w:val="en-US" w:eastAsia="zh-CN"/>
        </w:rPr>
        <w:t>符</w:t>
      </w:r>
      <w:r>
        <w:rPr>
          <w:rFonts w:hint="eastAsia" w:ascii="宋体" w:hAnsi="宋体" w:eastAsia="宋体" w:cs="宋体"/>
          <w:highlight w:val="none"/>
          <w:u w:val="single"/>
          <w:lang w:val="en-US" w:eastAsia="zh-CN"/>
        </w:rPr>
        <w:t>合法律法规的规定、相关行业标准、招标方需求及投标文件</w:t>
      </w:r>
      <w:r>
        <w:rPr>
          <w:rFonts w:hint="eastAsia" w:ascii="宋体" w:hAnsi="宋体" w:cs="宋体"/>
          <w:highlight w:val="none"/>
          <w:u w:val="single"/>
          <w:lang w:val="en-US" w:eastAsia="zh-CN"/>
        </w:rPr>
        <w:t>等文件</w:t>
      </w:r>
      <w:r>
        <w:rPr>
          <w:rFonts w:hint="eastAsia" w:ascii="宋体" w:hAnsi="宋体" w:eastAsia="宋体" w:cs="宋体"/>
          <w:highlight w:val="none"/>
          <w:u w:val="single"/>
          <w:lang w:val="en-US" w:eastAsia="zh-CN"/>
        </w:rPr>
        <w:t>中的最高要求</w:t>
      </w:r>
      <w:r>
        <w:rPr>
          <w:rFonts w:hint="eastAsia" w:ascii="宋体" w:hAnsi="宋体" w:eastAsia="宋体" w:cs="宋体"/>
          <w:highlight w:val="none"/>
        </w:rPr>
        <w:t>。</w:t>
      </w:r>
    </w:p>
    <w:p w14:paraId="44CAC4CB">
      <w:pPr>
        <w:pStyle w:val="29"/>
        <w:ind w:firstLine="420"/>
        <w:outlineLvl w:val="1"/>
        <w:rPr>
          <w:rFonts w:hint="eastAsia" w:ascii="宋体" w:hAnsi="宋体" w:cs="宋体"/>
          <w:color w:val="auto"/>
          <w:highlight w:val="none"/>
        </w:rPr>
      </w:pPr>
      <w:r>
        <w:rPr>
          <w:rFonts w:hint="eastAsia" w:ascii="宋体" w:hAnsi="宋体" w:eastAsia="宋体" w:cs="宋体"/>
          <w:highlight w:val="none"/>
        </w:rPr>
        <w:t>7、</w:t>
      </w:r>
      <w:r>
        <w:rPr>
          <w:rFonts w:hint="eastAsia" w:ascii="宋体" w:hAnsi="宋体" w:cs="宋体"/>
          <w:color w:val="auto"/>
          <w:highlight w:val="none"/>
        </w:rPr>
        <w:t>我方承诺对招标文件的全部偏差，均在投标文件的商务和技术偏离表中列明，除列明内容外，我方全部响应竞争性谈判文件的全部要求。</w:t>
      </w:r>
    </w:p>
    <w:p w14:paraId="4B03E638">
      <w:pPr>
        <w:pStyle w:val="29"/>
        <w:ind w:firstLine="420"/>
        <w:outlineLvl w:val="1"/>
        <w:rPr>
          <w:rFonts w:hint="eastAsia" w:ascii="宋体" w:hAnsi="宋体" w:eastAsia="宋体" w:cs="宋体"/>
          <w:highlight w:val="none"/>
        </w:rPr>
      </w:pPr>
      <w:r>
        <w:rPr>
          <w:rFonts w:hint="eastAsia" w:ascii="宋体" w:hAnsi="宋体" w:cs="宋体"/>
          <w:color w:val="auto"/>
          <w:highlight w:val="none"/>
          <w:lang w:val="en-US" w:eastAsia="zh-CN"/>
        </w:rPr>
        <w:t>8、</w:t>
      </w:r>
      <w:r>
        <w:rPr>
          <w:rFonts w:hint="eastAsia" w:ascii="宋体" w:hAnsi="宋体" w:eastAsia="宋体" w:cs="宋体"/>
          <w:highlight w:val="none"/>
        </w:rPr>
        <w:t>无论中标与否，我方愿意承担竞标过程的所有费用。</w:t>
      </w:r>
    </w:p>
    <w:p w14:paraId="4DB7999C">
      <w:pPr>
        <w:pStyle w:val="29"/>
        <w:ind w:firstLine="420"/>
        <w:rPr>
          <w:rFonts w:hint="eastAsia" w:ascii="宋体" w:hAnsi="宋体" w:eastAsia="宋体" w:cs="宋体"/>
          <w:highlight w:val="none"/>
        </w:rPr>
      </w:pPr>
      <w:r>
        <w:rPr>
          <w:rFonts w:hint="eastAsia" w:ascii="宋体" w:hAnsi="宋体" w:cs="宋体"/>
          <w:color w:val="auto"/>
          <w:kern w:val="0"/>
          <w:szCs w:val="21"/>
          <w:highlight w:val="none"/>
          <w:lang w:val="en-US" w:eastAsia="zh-CN"/>
        </w:rPr>
        <w:t>9</w:t>
      </w:r>
      <w:r>
        <w:rPr>
          <w:rFonts w:hint="eastAsia" w:ascii="宋体" w:hAnsi="宋体" w:eastAsia="宋体" w:cs="宋体"/>
          <w:kern w:val="0"/>
          <w:szCs w:val="21"/>
          <w:highlight w:val="none"/>
        </w:rPr>
        <w:t>、我方同意所递交的投标文件在《投标人须知附表》规定的投标有效期内有效。</w:t>
      </w:r>
    </w:p>
    <w:p w14:paraId="46709BA9">
      <w:pPr>
        <w:pStyle w:val="29"/>
        <w:ind w:firstLine="420"/>
        <w:rPr>
          <w:rFonts w:hint="eastAsia" w:ascii="宋体" w:hAnsi="宋体" w:eastAsia="宋体" w:cs="宋体"/>
          <w:highlight w:val="none"/>
        </w:rPr>
      </w:pPr>
      <w:r>
        <w:rPr>
          <w:rFonts w:hint="eastAsia" w:ascii="宋体" w:hAnsi="宋体" w:cs="宋体"/>
          <w:highlight w:val="none"/>
          <w:lang w:val="en-US" w:eastAsia="zh-CN"/>
        </w:rPr>
        <w:t>10</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（其他补充说明）。</w:t>
      </w:r>
    </w:p>
    <w:p w14:paraId="738FA956">
      <w:pPr>
        <w:pStyle w:val="29"/>
        <w:ind w:firstLine="420"/>
        <w:rPr>
          <w:rFonts w:hint="eastAsia" w:ascii="宋体" w:hAnsi="宋体" w:eastAsia="宋体" w:cs="宋体"/>
          <w:highlight w:val="none"/>
        </w:rPr>
      </w:pPr>
    </w:p>
    <w:p w14:paraId="28BBD791">
      <w:pPr>
        <w:pStyle w:val="29"/>
        <w:ind w:firstLine="420"/>
        <w:rPr>
          <w:rFonts w:hint="eastAsia" w:ascii="宋体" w:hAnsi="宋体" w:eastAsia="宋体" w:cs="宋体"/>
          <w:highlight w:val="none"/>
        </w:rPr>
      </w:pPr>
    </w:p>
    <w:p w14:paraId="551D3FC6">
      <w:pPr>
        <w:pStyle w:val="29"/>
        <w:ind w:firstLine="420"/>
        <w:rPr>
          <w:rFonts w:hint="eastAsia" w:ascii="宋体" w:hAnsi="宋体" w:eastAsia="宋体" w:cs="宋体"/>
          <w:highlight w:val="none"/>
        </w:rPr>
      </w:pPr>
    </w:p>
    <w:p w14:paraId="4A729C3E">
      <w:pPr>
        <w:pStyle w:val="29"/>
        <w:ind w:firstLine="5040" w:firstLineChars="2400"/>
        <w:rPr>
          <w:rFonts w:hint="eastAsia" w:ascii="宋体" w:hAnsi="宋体" w:eastAsia="宋体" w:cs="宋体"/>
          <w:highlight w:val="none"/>
        </w:rPr>
      </w:pPr>
      <w:r>
        <w:rPr>
          <w:rFonts w:hint="eastAsia" w:ascii="宋体" w:hAnsi="宋体" w:eastAsia="宋体" w:cs="宋体"/>
          <w:highlight w:val="none"/>
        </w:rPr>
        <w:t>法定代表人：（签字或盖章）</w:t>
      </w:r>
    </w:p>
    <w:p w14:paraId="02317661">
      <w:pPr>
        <w:pStyle w:val="29"/>
        <w:ind w:firstLine="5040" w:firstLineChars="2400"/>
        <w:rPr>
          <w:rFonts w:hint="eastAsia" w:ascii="宋体" w:hAnsi="宋体" w:eastAsia="宋体" w:cs="宋体"/>
          <w:highlight w:val="none"/>
        </w:rPr>
      </w:pPr>
      <w:r>
        <w:rPr>
          <w:rFonts w:hint="eastAsia" w:ascii="宋体" w:hAnsi="宋体" w:eastAsia="宋体" w:cs="宋体"/>
          <w:highlight w:val="none"/>
        </w:rPr>
        <w:t>授权代表人：（签字或盖章）</w:t>
      </w:r>
    </w:p>
    <w:p w14:paraId="38B0198E">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竞标单位：（单位公章）</w:t>
      </w:r>
    </w:p>
    <w:p w14:paraId="34477938">
      <w:pPr>
        <w:pStyle w:val="29"/>
        <w:ind w:firstLine="5040" w:firstLineChars="24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5E127035">
      <w:pPr>
        <w:rPr>
          <w:rFonts w:hint="eastAsia" w:ascii="宋体" w:hAnsi="宋体" w:eastAsia="宋体" w:cs="宋体"/>
          <w:highlight w:val="none"/>
        </w:rPr>
      </w:pPr>
      <w:r>
        <w:rPr>
          <w:rFonts w:hint="eastAsia" w:ascii="宋体" w:hAnsi="宋体" w:eastAsia="宋体" w:cs="宋体"/>
          <w:highlight w:val="none"/>
        </w:rPr>
        <w:br w:type="page"/>
      </w:r>
    </w:p>
    <w:p w14:paraId="3D0177E6">
      <w:pPr>
        <w:pStyle w:val="30"/>
        <w:ind w:firstLine="0" w:firstLineChars="0"/>
        <w:outlineLvl w:val="2"/>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附件2</w:t>
      </w:r>
    </w:p>
    <w:p w14:paraId="36AC82A7">
      <w:pPr>
        <w:pStyle w:val="29"/>
        <w:ind w:firstLine="420"/>
        <w:jc w:val="center"/>
        <w:outlineLvl w:val="1"/>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"目录" </w:instrText>
      </w:r>
      <w:r>
        <w:rPr>
          <w:rFonts w:hint="eastAsia" w:ascii="宋体" w:hAnsi="宋体" w:eastAsia="宋体" w:cs="宋体"/>
          <w:highlight w:val="none"/>
        </w:rPr>
        <w:fldChar w:fldCharType="separate"/>
      </w:r>
      <w:bookmarkStart w:id="27" w:name="_Toc115362805"/>
      <w:bookmarkStart w:id="28" w:name="_Toc115362489"/>
      <w:bookmarkStart w:id="29" w:name="_Toc115424831"/>
      <w:bookmarkStart w:id="30" w:name="_Toc115362586"/>
      <w:r>
        <w:rPr>
          <w:rStyle w:val="23"/>
          <w:rFonts w:hint="eastAsia" w:ascii="宋体" w:hAnsi="宋体" w:eastAsia="宋体" w:cs="宋体"/>
          <w:color w:val="000000" w:themeColor="text1"/>
          <w:highlight w:val="none"/>
          <w14:textFill>
            <w14:solidFill>
              <w14:schemeClr w14:val="tx1"/>
            </w14:solidFill>
          </w14:textFill>
        </w:rPr>
        <w:t>竞标人关于资格的声明函</w:t>
      </w:r>
      <w:bookmarkEnd w:id="27"/>
      <w:bookmarkEnd w:id="28"/>
      <w:bookmarkEnd w:id="29"/>
      <w:bookmarkEnd w:id="30"/>
      <w:r>
        <w:rPr>
          <w:rStyle w:val="23"/>
          <w:rFonts w:hint="eastAsia" w:ascii="宋体" w:hAnsi="宋体" w:eastAsia="宋体" w:cs="宋体"/>
          <w:color w:val="000000" w:themeColor="text1"/>
          <w:highlight w:val="none"/>
          <w14:textFill>
            <w14:solidFill>
              <w14:schemeClr w14:val="tx1"/>
            </w14:solidFill>
          </w14:textFill>
        </w:rPr>
        <w:fldChar w:fldCharType="end"/>
      </w:r>
    </w:p>
    <w:p w14:paraId="13508A25">
      <w:pPr>
        <w:pStyle w:val="29"/>
        <w:ind w:firstLine="0" w:firstLineChars="0"/>
        <w:rPr>
          <w:rFonts w:hint="eastAsia" w:ascii="宋体" w:hAnsi="宋体" w:eastAsia="宋体" w:cs="宋体"/>
          <w:highlight w:val="none"/>
        </w:rPr>
      </w:pPr>
    </w:p>
    <w:p w14:paraId="53B42EE5">
      <w:pPr>
        <w:pStyle w:val="29"/>
        <w:ind w:firstLine="6930" w:firstLineChars="3300"/>
        <w:rPr>
          <w:rFonts w:hint="eastAsia" w:ascii="宋体" w:hAnsi="宋体" w:eastAsia="宋体" w:cs="宋体"/>
          <w:highlight w:val="none"/>
        </w:rPr>
      </w:pPr>
      <w:r>
        <w:rPr>
          <w:rFonts w:hint="eastAsia" w:ascii="宋体" w:hAnsi="宋体" w:eastAsia="宋体" w:cs="宋体"/>
          <w:highlight w:val="none"/>
        </w:rPr>
        <w:t>项目名称</w:t>
      </w:r>
      <w:r>
        <w:rPr>
          <w:rFonts w:hint="eastAsia" w:ascii="宋体" w:hAnsi="宋体" w:cs="宋体"/>
          <w:color w:val="auto"/>
          <w:highlight w:val="none"/>
          <w:lang w:eastAsia="zh-CN"/>
        </w:rPr>
        <w:t>：</w:t>
      </w:r>
      <w:r>
        <w:rPr>
          <w:rFonts w:hint="eastAsia" w:ascii="宋体" w:hAnsi="宋体" w:cs="宋体"/>
          <w:color w:val="auto"/>
          <w:highlight w:val="none"/>
          <w:u w:val="single"/>
          <w:lang w:eastAsia="zh-CN"/>
        </w:rPr>
        <w:t>【】</w:t>
      </w:r>
      <w:r>
        <w:rPr>
          <w:rFonts w:hint="eastAsia" w:ascii="宋体" w:hAnsi="宋体" w:cs="宋体"/>
          <w:color w:val="auto"/>
          <w:highlight w:val="none"/>
          <w:u w:val="single"/>
        </w:rPr>
        <w:t xml:space="preserve">     </w:t>
      </w:r>
      <w:r>
        <w:rPr>
          <w:rFonts w:hint="eastAsia" w:ascii="宋体" w:hAnsi="宋体" w:eastAsia="宋体" w:cs="宋体"/>
          <w:highlight w:val="none"/>
          <w:u w:val="single"/>
        </w:rPr>
        <w:t xml:space="preserve">                  </w:t>
      </w:r>
    </w:p>
    <w:p w14:paraId="1DC47D44">
      <w:pPr>
        <w:pStyle w:val="29"/>
        <w:ind w:firstLine="0" w:firstLineChars="0"/>
        <w:rPr>
          <w:rFonts w:hint="eastAsia" w:ascii="宋体" w:hAnsi="宋体" w:eastAsia="宋体" w:cs="宋体"/>
          <w:highlight w:val="none"/>
        </w:rPr>
      </w:pPr>
      <w:r>
        <w:rPr>
          <w:rFonts w:hint="eastAsia" w:ascii="宋体" w:hAnsi="宋体" w:eastAsia="宋体" w:cs="宋体"/>
          <w:highlight w:val="none"/>
          <w:lang w:eastAsia="zh-CN"/>
        </w:rPr>
        <w:t>眉山琏升光伏科技有限公司</w:t>
      </w:r>
      <w:r>
        <w:rPr>
          <w:rFonts w:hint="eastAsia" w:ascii="宋体" w:hAnsi="宋体" w:eastAsia="宋体" w:cs="宋体"/>
          <w:highlight w:val="none"/>
        </w:rPr>
        <w:t>：</w:t>
      </w:r>
    </w:p>
    <w:p w14:paraId="41AB68AB">
      <w:pPr>
        <w:pStyle w:val="29"/>
        <w:ind w:firstLine="420"/>
        <w:rPr>
          <w:rFonts w:hint="eastAsia" w:ascii="宋体" w:hAnsi="宋体" w:eastAsia="宋体" w:cs="宋体"/>
          <w:highlight w:val="none"/>
        </w:rPr>
      </w:pPr>
      <w:r>
        <w:rPr>
          <w:rFonts w:hint="eastAsia" w:ascii="宋体" w:hAnsi="宋体" w:eastAsia="宋体" w:cs="宋体"/>
          <w:highlight w:val="none"/>
        </w:rPr>
        <w:t>我公司愿意针对本招标项目进行竞标。竞标文件中所有关于竞标人资格的文件、证明、陈述均是真实的、准确的</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有效的</w:t>
      </w:r>
      <w:r>
        <w:rPr>
          <w:rFonts w:hint="eastAsia" w:ascii="宋体" w:hAnsi="宋体" w:eastAsia="宋体" w:cs="宋体"/>
          <w:highlight w:val="none"/>
        </w:rPr>
        <w:t>。若有违背，我公司愿意承担由此而产生的一切后果。</w:t>
      </w:r>
    </w:p>
    <w:p w14:paraId="107BE938">
      <w:pPr>
        <w:pStyle w:val="29"/>
        <w:ind w:firstLine="420"/>
        <w:rPr>
          <w:rFonts w:ascii="宋体" w:hAnsi="宋体" w:cs="宋体"/>
          <w:u w:val="single"/>
        </w:rPr>
      </w:pPr>
      <w:r>
        <w:rPr>
          <w:rFonts w:hint="eastAsia" w:ascii="宋体" w:hAnsi="宋体" w:cs="宋体"/>
          <w:color w:val="auto"/>
          <w:highlight w:val="none"/>
        </w:rPr>
        <w:t>我公司与眉山琏升光伏科技有限公司、</w:t>
      </w:r>
      <w:r>
        <w:rPr>
          <w:rFonts w:hint="eastAsia" w:ascii="宋体" w:hAnsi="宋体" w:cs="宋体"/>
          <w:color w:val="auto"/>
          <w:highlight w:val="none"/>
          <w:lang w:val="en-US" w:eastAsia="zh-CN"/>
        </w:rPr>
        <w:t>琏升科技有限公司</w:t>
      </w:r>
      <w:r>
        <w:rPr>
          <w:rFonts w:hint="eastAsia" w:ascii="宋体" w:hAnsi="宋体" w:cs="宋体"/>
          <w:color w:val="auto"/>
          <w:highlight w:val="none"/>
        </w:rPr>
        <w:t>、</w:t>
      </w:r>
      <w:r>
        <w:rPr>
          <w:rFonts w:hint="eastAsia" w:ascii="宋体" w:hAnsi="宋体" w:cs="宋体"/>
          <w:color w:val="auto"/>
          <w:highlight w:val="none"/>
          <w:lang w:val="en-US" w:eastAsia="zh-CN"/>
        </w:rPr>
        <w:t>天津琏升</w:t>
      </w:r>
      <w:r>
        <w:rPr>
          <w:rFonts w:hint="eastAsia" w:ascii="宋体" w:hAnsi="宋体" w:cs="宋体"/>
          <w:color w:val="auto"/>
          <w:highlight w:val="none"/>
        </w:rPr>
        <w:t>科技股份有限公司，以及前述三家公司之实际控制人、股东、董事、监事、高级管理人员之间</w:t>
      </w:r>
      <w:r>
        <w:rPr>
          <w:rFonts w:hint="eastAsia" w:ascii="宋体" w:hAnsi="宋体" w:cs="宋体"/>
          <w:color w:val="auto"/>
          <w:highlight w:val="none"/>
        </w:rPr>
        <w:sym w:font="Wingdings 2" w:char="00A3"/>
      </w:r>
      <w:r>
        <w:rPr>
          <w:rFonts w:hint="eastAsia" w:ascii="宋体" w:hAnsi="宋体" w:cs="宋体"/>
          <w:color w:val="auto"/>
          <w:highlight w:val="none"/>
        </w:rPr>
        <w:t>是</w:t>
      </w:r>
      <w:r>
        <w:rPr>
          <w:rFonts w:hint="eastAsia" w:ascii="宋体" w:hAnsi="宋体" w:cs="宋体"/>
          <w:color w:val="auto"/>
          <w:highlight w:val="none"/>
        </w:rPr>
        <w:sym w:font="Wingdings 2" w:char="00A3"/>
      </w:r>
      <w:r>
        <w:rPr>
          <w:rFonts w:hint="eastAsia" w:ascii="宋体" w:hAnsi="宋体" w:cs="宋体"/>
          <w:color w:val="auto"/>
          <w:highlight w:val="none"/>
        </w:rPr>
        <w:t>否存在关联关系。如是，本公司作出如下说明：</w:t>
      </w:r>
      <w:r>
        <w:rPr>
          <w:rFonts w:hint="eastAsia" w:ascii="宋体" w:hAnsi="宋体" w:cs="宋体"/>
        </w:rPr>
        <w:t>：</w:t>
      </w:r>
      <w:r>
        <w:rPr>
          <w:rFonts w:hint="eastAsia" w:ascii="宋体" w:hAnsi="宋体" w:cs="宋体"/>
          <w:u w:val="single"/>
        </w:rPr>
        <w:t xml:space="preserve">                          </w:t>
      </w:r>
      <w:r>
        <w:rPr>
          <w:rFonts w:hint="eastAsia" w:ascii="宋体" w:hAnsi="宋体" w:cs="宋体"/>
        </w:rPr>
        <w:t>。</w:t>
      </w:r>
    </w:p>
    <w:p w14:paraId="29BB84A0">
      <w:pPr>
        <w:pStyle w:val="29"/>
        <w:ind w:firstLine="420"/>
        <w:rPr>
          <w:rFonts w:hint="eastAsia" w:ascii="宋体" w:hAnsi="宋体" w:eastAsia="宋体" w:cs="宋体"/>
          <w:highlight w:val="none"/>
        </w:rPr>
      </w:pPr>
      <w:r>
        <w:rPr>
          <w:rFonts w:hint="eastAsia" w:ascii="宋体" w:hAnsi="宋体" w:cs="宋体"/>
          <w:color w:val="auto"/>
          <w:highlight w:val="none"/>
        </w:rPr>
        <w:t xml:space="preserve">                          </w:t>
      </w:r>
    </w:p>
    <w:p w14:paraId="1D8806B7">
      <w:pPr>
        <w:pStyle w:val="29"/>
        <w:ind w:firstLine="420"/>
        <w:rPr>
          <w:rFonts w:hint="eastAsia" w:ascii="宋体" w:hAnsi="宋体" w:eastAsia="宋体" w:cs="宋体"/>
          <w:highlight w:val="none"/>
        </w:rPr>
      </w:pPr>
      <w:r>
        <w:rPr>
          <w:rFonts w:hint="eastAsia" w:ascii="宋体" w:hAnsi="宋体" w:eastAsia="宋体" w:cs="宋体"/>
          <w:highlight w:val="none"/>
        </w:rPr>
        <w:t>特此声明！</w:t>
      </w:r>
    </w:p>
    <w:p w14:paraId="58F5140A">
      <w:pPr>
        <w:pStyle w:val="29"/>
        <w:ind w:firstLine="420"/>
        <w:rPr>
          <w:rFonts w:hint="eastAsia" w:ascii="宋体" w:hAnsi="宋体" w:eastAsia="宋体" w:cs="宋体"/>
          <w:highlight w:val="none"/>
        </w:rPr>
      </w:pPr>
    </w:p>
    <w:p w14:paraId="58644F41">
      <w:pPr>
        <w:pStyle w:val="29"/>
        <w:ind w:firstLine="420"/>
        <w:rPr>
          <w:rFonts w:hint="eastAsia" w:ascii="宋体" w:hAnsi="宋体" w:eastAsia="宋体" w:cs="宋体"/>
          <w:highlight w:val="none"/>
        </w:rPr>
      </w:pPr>
    </w:p>
    <w:p w14:paraId="184BF8B2">
      <w:pPr>
        <w:pStyle w:val="29"/>
        <w:ind w:firstLine="420"/>
        <w:rPr>
          <w:rFonts w:hint="eastAsia" w:ascii="宋体" w:hAnsi="宋体" w:eastAsia="宋体" w:cs="宋体"/>
          <w:highlight w:val="none"/>
        </w:rPr>
      </w:pPr>
    </w:p>
    <w:p w14:paraId="170F0469">
      <w:pPr>
        <w:pStyle w:val="29"/>
        <w:ind w:firstLine="420"/>
        <w:rPr>
          <w:rFonts w:hint="eastAsia" w:ascii="宋体" w:hAnsi="宋体" w:eastAsia="宋体" w:cs="宋体"/>
          <w:highlight w:val="none"/>
        </w:rPr>
      </w:pPr>
    </w:p>
    <w:p w14:paraId="57957486">
      <w:pPr>
        <w:pStyle w:val="29"/>
        <w:ind w:firstLine="420"/>
        <w:rPr>
          <w:rFonts w:hint="eastAsia" w:ascii="宋体" w:hAnsi="宋体" w:eastAsia="宋体" w:cs="宋体"/>
          <w:highlight w:val="none"/>
        </w:rPr>
      </w:pPr>
    </w:p>
    <w:p w14:paraId="71467F5F">
      <w:pPr>
        <w:pStyle w:val="29"/>
        <w:ind w:firstLine="420"/>
        <w:rPr>
          <w:rFonts w:hint="eastAsia" w:ascii="宋体" w:hAnsi="宋体" w:eastAsia="宋体" w:cs="宋体"/>
          <w:highlight w:val="none"/>
        </w:rPr>
      </w:pPr>
    </w:p>
    <w:p w14:paraId="2C2A88C3">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竞标单位授权代表：（签字或盖章）</w:t>
      </w:r>
    </w:p>
    <w:p w14:paraId="3853861B">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竞标单位：（加盖公章）</w:t>
      </w:r>
    </w:p>
    <w:p w14:paraId="393F0CF5">
      <w:pPr>
        <w:pStyle w:val="29"/>
        <w:ind w:firstLine="5040" w:firstLineChars="24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483D96E6">
      <w:pPr>
        <w:rPr>
          <w:rFonts w:hint="eastAsia" w:ascii="宋体" w:hAnsi="宋体" w:eastAsia="宋体" w:cs="宋体"/>
          <w:highlight w:val="none"/>
        </w:rPr>
      </w:pPr>
      <w:r>
        <w:rPr>
          <w:rFonts w:hint="eastAsia" w:ascii="宋体" w:hAnsi="宋体" w:eastAsia="宋体" w:cs="宋体"/>
          <w:highlight w:val="none"/>
        </w:rPr>
        <w:br w:type="page"/>
      </w:r>
    </w:p>
    <w:p w14:paraId="178FB828">
      <w:pPr>
        <w:pStyle w:val="30"/>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附件3</w:t>
      </w:r>
    </w:p>
    <w:p w14:paraId="4F9655FD">
      <w:pPr>
        <w:pStyle w:val="29"/>
        <w:ind w:firstLine="420"/>
        <w:jc w:val="center"/>
        <w:outlineLvl w:val="1"/>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"目录" </w:instrText>
      </w:r>
      <w:r>
        <w:rPr>
          <w:rFonts w:hint="eastAsia" w:ascii="宋体" w:hAnsi="宋体" w:eastAsia="宋体" w:cs="宋体"/>
          <w:highlight w:val="none"/>
        </w:rPr>
        <w:fldChar w:fldCharType="separate"/>
      </w:r>
      <w:bookmarkStart w:id="31" w:name="_Toc115362490"/>
      <w:bookmarkStart w:id="32" w:name="_Toc115424832"/>
      <w:bookmarkStart w:id="33" w:name="_Toc115362587"/>
      <w:bookmarkStart w:id="34" w:name="_Toc115362806"/>
      <w:r>
        <w:rPr>
          <w:rStyle w:val="23"/>
          <w:rFonts w:hint="eastAsia" w:ascii="宋体" w:hAnsi="宋体" w:eastAsia="宋体" w:cs="宋体"/>
          <w:color w:val="000000" w:themeColor="text1"/>
          <w:highlight w:val="none"/>
          <w14:textFill>
            <w14:solidFill>
              <w14:schemeClr w14:val="tx1"/>
            </w14:solidFill>
          </w14:textFill>
        </w:rPr>
        <w:t>法定代表人授权委托书</w:t>
      </w:r>
      <w:bookmarkEnd w:id="31"/>
      <w:bookmarkEnd w:id="32"/>
      <w:bookmarkEnd w:id="33"/>
      <w:bookmarkEnd w:id="34"/>
      <w:r>
        <w:rPr>
          <w:rStyle w:val="23"/>
          <w:rFonts w:hint="eastAsia" w:ascii="宋体" w:hAnsi="宋体" w:eastAsia="宋体" w:cs="宋体"/>
          <w:color w:val="000000" w:themeColor="text1"/>
          <w:highlight w:val="none"/>
          <w14:textFill>
            <w14:solidFill>
              <w14:schemeClr w14:val="tx1"/>
            </w14:solidFill>
          </w14:textFill>
        </w:rPr>
        <w:fldChar w:fldCharType="end"/>
      </w:r>
    </w:p>
    <w:p w14:paraId="4C505485">
      <w:pPr>
        <w:pStyle w:val="29"/>
        <w:ind w:firstLine="420"/>
        <w:rPr>
          <w:rFonts w:hint="eastAsia" w:ascii="宋体" w:hAnsi="宋体" w:eastAsia="宋体" w:cs="宋体"/>
          <w:highlight w:val="none"/>
        </w:rPr>
      </w:pPr>
    </w:p>
    <w:p w14:paraId="05CFD7ED">
      <w:pPr>
        <w:pStyle w:val="29"/>
        <w:ind w:firstLine="0" w:firstLineChars="0"/>
        <w:rPr>
          <w:rFonts w:hint="eastAsia" w:ascii="宋体" w:hAnsi="宋体" w:eastAsia="宋体" w:cs="宋体"/>
          <w:highlight w:val="none"/>
        </w:rPr>
      </w:pPr>
      <w:r>
        <w:rPr>
          <w:rFonts w:hint="eastAsia" w:ascii="宋体" w:hAnsi="宋体" w:eastAsia="宋体" w:cs="宋体"/>
          <w:highlight w:val="none"/>
          <w:lang w:eastAsia="zh-CN"/>
        </w:rPr>
        <w:t>眉山琏升光伏科技有限公司</w:t>
      </w:r>
      <w:r>
        <w:rPr>
          <w:rFonts w:hint="eastAsia" w:ascii="宋体" w:hAnsi="宋体" w:eastAsia="宋体" w:cs="宋体"/>
          <w:highlight w:val="none"/>
        </w:rPr>
        <w:t>：</w:t>
      </w:r>
    </w:p>
    <w:p w14:paraId="265AFDBF">
      <w:pPr>
        <w:pStyle w:val="29"/>
        <w:ind w:firstLine="420"/>
        <w:rPr>
          <w:rFonts w:hint="eastAsia" w:ascii="宋体" w:hAnsi="宋体" w:eastAsia="宋体" w:cs="宋体"/>
          <w:highlight w:val="none"/>
        </w:rPr>
      </w:pPr>
      <w:r>
        <w:rPr>
          <w:rFonts w:hint="eastAsia" w:ascii="宋体" w:hAnsi="宋体" w:eastAsia="宋体" w:cs="宋体"/>
          <w:highlight w:val="none"/>
        </w:rPr>
        <w:t>（竞标单位全称）法定代表人</w:t>
      </w:r>
      <w:r>
        <w:rPr>
          <w:rFonts w:hint="eastAsia" w:ascii="宋体" w:hAnsi="宋体" w:eastAsia="宋体" w:cs="宋体"/>
          <w:highlight w:val="none"/>
          <w:u w:val="single"/>
        </w:rPr>
        <w:t xml:space="preserve">        </w:t>
      </w:r>
      <w:r>
        <w:rPr>
          <w:rFonts w:hint="eastAsia" w:ascii="宋体" w:hAnsi="宋体" w:eastAsia="宋体" w:cs="宋体"/>
          <w:highlight w:val="none"/>
        </w:rPr>
        <w:t>授权</w:t>
      </w:r>
      <w:r>
        <w:rPr>
          <w:rFonts w:hint="eastAsia" w:ascii="宋体" w:hAnsi="宋体" w:eastAsia="宋体" w:cs="宋体"/>
          <w:highlight w:val="none"/>
          <w:u w:val="single"/>
        </w:rPr>
        <w:t xml:space="preserve">        </w:t>
      </w:r>
      <w:r>
        <w:rPr>
          <w:rFonts w:hint="eastAsia" w:ascii="宋体" w:hAnsi="宋体" w:eastAsia="宋体" w:cs="宋体"/>
          <w:highlight w:val="none"/>
        </w:rPr>
        <w:t>（代表人姓名/身份证号及身份证复印件）为全权代表， 参加贵公司组织的</w:t>
      </w:r>
      <w:r>
        <w:rPr>
          <w:rFonts w:hint="eastAsia" w:ascii="宋体" w:hAnsi="宋体" w:eastAsia="宋体" w:cs="宋体"/>
          <w:highlight w:val="none"/>
          <w:u w:val="single"/>
        </w:rPr>
        <w:t xml:space="preserve">        </w:t>
      </w:r>
      <w:r>
        <w:rPr>
          <w:rFonts w:hint="eastAsia" w:ascii="宋体" w:hAnsi="宋体" w:eastAsia="宋体" w:cs="宋体"/>
          <w:highlight w:val="none"/>
        </w:rPr>
        <w:t>项目招标活动，全权</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特别授权</w:t>
      </w:r>
      <w:r>
        <w:rPr>
          <w:rFonts w:hint="eastAsia" w:ascii="宋体" w:hAnsi="宋体" w:eastAsia="宋体" w:cs="宋体"/>
          <w:highlight w:val="none"/>
          <w:lang w:eastAsia="zh-CN"/>
        </w:rPr>
        <w:t>）</w:t>
      </w:r>
      <w:r>
        <w:rPr>
          <w:rFonts w:hint="eastAsia" w:ascii="宋体" w:hAnsi="宋体" w:eastAsia="宋体" w:cs="宋体"/>
          <w:highlight w:val="none"/>
        </w:rPr>
        <w:t>处理招标活动中的一切事宜，并承担由此产生的一切法律责任。招标人不接受代理人转授委托。</w:t>
      </w:r>
    </w:p>
    <w:p w14:paraId="0EB57EE6">
      <w:pPr>
        <w:pStyle w:val="29"/>
        <w:ind w:firstLine="420"/>
        <w:rPr>
          <w:rFonts w:hint="eastAsia" w:ascii="宋体" w:hAnsi="宋体" w:eastAsia="宋体" w:cs="宋体"/>
          <w:highlight w:val="none"/>
        </w:rPr>
      </w:pPr>
      <w:r>
        <w:rPr>
          <w:rFonts w:hint="eastAsia" w:ascii="宋体" w:hAnsi="宋体" w:cs="宋体"/>
          <w:color w:val="auto"/>
          <w:highlight w:val="none"/>
        </w:rPr>
        <w:t>法定代表人身份证复印件：</w:t>
      </w:r>
    </w:p>
    <w:p w14:paraId="3FC61BC7">
      <w:pPr>
        <w:pStyle w:val="29"/>
        <w:ind w:firstLine="420"/>
        <w:rPr>
          <w:rFonts w:hint="eastAsia" w:ascii="宋体" w:hAnsi="宋体" w:eastAsia="宋体" w:cs="宋体"/>
          <w:highlight w:val="none"/>
        </w:rPr>
      </w:pPr>
    </w:p>
    <w:tbl>
      <w:tblPr>
        <w:tblStyle w:val="20"/>
        <w:tblW w:w="4986" w:type="pct"/>
        <w:tblInd w:w="0" w:type="dxa"/>
        <w:tblLayout w:type="autofit"/>
        <w:tblCellMar>
          <w:top w:w="0" w:type="dxa"/>
          <w:left w:w="108" w:type="dxa"/>
          <w:bottom w:w="0" w:type="dxa"/>
          <w:right w:w="108" w:type="dxa"/>
        </w:tblCellMar>
      </w:tblPr>
      <w:tblGrid>
        <w:gridCol w:w="4983"/>
        <w:gridCol w:w="4986"/>
      </w:tblGrid>
      <w:tr w14:paraId="40649A1E">
        <w:tblPrEx>
          <w:tblCellMar>
            <w:top w:w="0" w:type="dxa"/>
            <w:left w:w="108" w:type="dxa"/>
            <w:bottom w:w="0" w:type="dxa"/>
            <w:right w:w="108" w:type="dxa"/>
          </w:tblCellMar>
        </w:tblPrEx>
        <w:trPr>
          <w:trHeight w:val="2670" w:hRule="atLeast"/>
        </w:trPr>
        <w:tc>
          <w:tcPr>
            <w:tcW w:w="2499" w:type="pct"/>
          </w:tcPr>
          <w:p w14:paraId="2826E17E">
            <w:pPr>
              <w:pStyle w:val="29"/>
              <w:widowControl w:val="0"/>
              <w:ind w:firstLine="420"/>
              <w:jc w:val="both"/>
              <w:rPr>
                <w:rFonts w:ascii="宋体" w:hAnsi="宋体" w:cs="宋体"/>
                <w:color w:val="auto"/>
                <w:highlight w:val="none"/>
              </w:rPr>
            </w:pPr>
            <w:r>
              <w:rPr>
                <w:rFonts w:hint="eastAsia" w:ascii="宋体" w:hAnsi="宋体" w:cs="宋体"/>
                <w:color w:val="auto"/>
                <w:highlight w:val="none"/>
              </w:rPr>
              <w:t>正面</w:t>
            </w:r>
          </w:p>
        </w:tc>
        <w:tc>
          <w:tcPr>
            <w:tcW w:w="2500" w:type="pct"/>
          </w:tcPr>
          <w:p w14:paraId="63FC44E7">
            <w:pPr>
              <w:pStyle w:val="29"/>
              <w:widowControl w:val="0"/>
              <w:ind w:firstLine="420"/>
              <w:jc w:val="both"/>
              <w:rPr>
                <w:rFonts w:ascii="宋体" w:hAnsi="宋体" w:cs="宋体"/>
                <w:color w:val="auto"/>
                <w:highlight w:val="none"/>
              </w:rPr>
            </w:pPr>
            <w:r>
              <w:rPr>
                <w:rFonts w:hint="eastAsia" w:ascii="宋体" w:hAnsi="宋体" w:cs="宋体"/>
                <w:color w:val="auto"/>
                <w:highlight w:val="none"/>
              </w:rPr>
              <w:t>反面</w:t>
            </w:r>
          </w:p>
        </w:tc>
      </w:tr>
    </w:tbl>
    <w:p w14:paraId="1B398717">
      <w:pPr>
        <w:pStyle w:val="29"/>
        <w:ind w:firstLine="420"/>
        <w:rPr>
          <w:rFonts w:hint="eastAsia" w:ascii="宋体" w:hAnsi="宋体" w:eastAsia="宋体" w:cs="宋体"/>
          <w:highlight w:val="none"/>
        </w:rPr>
      </w:pPr>
      <w:r>
        <w:rPr>
          <w:rFonts w:hint="eastAsia" w:ascii="宋体" w:hAnsi="宋体" w:cs="宋体"/>
          <w:color w:val="auto"/>
          <w:highlight w:val="none"/>
        </w:rPr>
        <w:t>授权代表身份证复印件：</w:t>
      </w:r>
    </w:p>
    <w:tbl>
      <w:tblPr>
        <w:tblStyle w:val="20"/>
        <w:tblW w:w="0" w:type="auto"/>
        <w:tblInd w:w="0" w:type="dxa"/>
        <w:tblLayout w:type="autofit"/>
        <w:tblCellMar>
          <w:top w:w="0" w:type="dxa"/>
          <w:left w:w="108" w:type="dxa"/>
          <w:bottom w:w="0" w:type="dxa"/>
          <w:right w:w="108" w:type="dxa"/>
        </w:tblCellMar>
      </w:tblPr>
      <w:tblGrid>
        <w:gridCol w:w="4970"/>
        <w:gridCol w:w="4970"/>
      </w:tblGrid>
      <w:tr w14:paraId="4C8973A7">
        <w:tblPrEx>
          <w:tblCellMar>
            <w:top w:w="0" w:type="dxa"/>
            <w:left w:w="108" w:type="dxa"/>
            <w:bottom w:w="0" w:type="dxa"/>
            <w:right w:w="108" w:type="dxa"/>
          </w:tblCellMar>
        </w:tblPrEx>
        <w:trPr>
          <w:trHeight w:val="3518" w:hRule="atLeast"/>
        </w:trPr>
        <w:tc>
          <w:tcPr>
            <w:tcW w:w="4970" w:type="dxa"/>
          </w:tcPr>
          <w:p w14:paraId="3F13310F">
            <w:pPr>
              <w:pStyle w:val="29"/>
              <w:widowControl w:val="0"/>
              <w:ind w:firstLine="420"/>
              <w:jc w:val="both"/>
              <w:rPr>
                <w:rFonts w:ascii="宋体" w:hAnsi="宋体" w:cs="宋体"/>
                <w:color w:val="auto"/>
                <w:highlight w:val="none"/>
              </w:rPr>
            </w:pPr>
            <w:r>
              <w:rPr>
                <w:rFonts w:hint="eastAsia" w:ascii="宋体" w:hAnsi="宋体" w:cs="宋体"/>
                <w:color w:val="auto"/>
                <w:highlight w:val="none"/>
              </w:rPr>
              <w:t>正面</w:t>
            </w:r>
          </w:p>
        </w:tc>
        <w:tc>
          <w:tcPr>
            <w:tcW w:w="4970" w:type="dxa"/>
          </w:tcPr>
          <w:p w14:paraId="5DBC3FE6">
            <w:pPr>
              <w:pStyle w:val="29"/>
              <w:widowControl w:val="0"/>
              <w:ind w:firstLine="420"/>
              <w:jc w:val="both"/>
              <w:rPr>
                <w:rFonts w:ascii="宋体" w:hAnsi="宋体" w:cs="宋体"/>
                <w:color w:val="auto"/>
                <w:highlight w:val="none"/>
              </w:rPr>
            </w:pPr>
            <w:r>
              <w:rPr>
                <w:rFonts w:hint="eastAsia" w:ascii="宋体" w:hAnsi="宋体" w:cs="宋体"/>
                <w:color w:val="auto"/>
                <w:highlight w:val="none"/>
              </w:rPr>
              <w:t>反面</w:t>
            </w:r>
          </w:p>
        </w:tc>
      </w:tr>
    </w:tbl>
    <w:p w14:paraId="0878383A">
      <w:pPr>
        <w:pStyle w:val="29"/>
        <w:ind w:firstLine="420"/>
        <w:rPr>
          <w:rFonts w:hint="eastAsia" w:ascii="宋体" w:hAnsi="宋体" w:eastAsia="宋体" w:cs="宋体"/>
          <w:highlight w:val="none"/>
        </w:rPr>
      </w:pPr>
    </w:p>
    <w:p w14:paraId="1D2AB25B">
      <w:pPr>
        <w:pStyle w:val="29"/>
        <w:ind w:firstLine="420"/>
        <w:rPr>
          <w:rFonts w:hint="eastAsia" w:ascii="宋体" w:hAnsi="宋体" w:eastAsia="宋体" w:cs="宋体"/>
          <w:highlight w:val="none"/>
        </w:rPr>
      </w:pPr>
    </w:p>
    <w:p w14:paraId="76B6853A">
      <w:pPr>
        <w:pStyle w:val="29"/>
        <w:ind w:firstLine="420"/>
        <w:rPr>
          <w:rFonts w:hint="eastAsia" w:ascii="宋体" w:hAnsi="宋体" w:eastAsia="宋体" w:cs="宋体"/>
          <w:highlight w:val="none"/>
        </w:rPr>
      </w:pPr>
    </w:p>
    <w:p w14:paraId="312E74F2">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w:t>
      </w:r>
      <w:r>
        <w:rPr>
          <w:rFonts w:hint="eastAsia" w:ascii="宋体" w:hAnsi="宋体" w:eastAsia="宋体" w:cs="宋体"/>
          <w:highlight w:val="none"/>
          <w:lang w:val="en-US" w:eastAsia="zh-CN"/>
        </w:rPr>
        <w:t>法定代表人</w:t>
      </w:r>
      <w:r>
        <w:rPr>
          <w:rFonts w:hint="eastAsia" w:ascii="宋体" w:hAnsi="宋体" w:eastAsia="宋体" w:cs="宋体"/>
          <w:highlight w:val="none"/>
        </w:rPr>
        <w:t>（签字或盖章）:</w:t>
      </w:r>
    </w:p>
    <w:p w14:paraId="39AF6161">
      <w:pPr>
        <w:pStyle w:val="29"/>
        <w:ind w:firstLine="5040" w:firstLineChars="2400"/>
        <w:rPr>
          <w:rFonts w:hint="default" w:ascii="宋体" w:hAnsi="宋体" w:eastAsia="宋体" w:cs="宋体"/>
          <w:highlight w:val="none"/>
          <w:lang w:val="en-US" w:eastAsia="zh-CN"/>
        </w:rPr>
      </w:pPr>
      <w:r>
        <w:rPr>
          <w:rFonts w:hint="eastAsia" w:ascii="宋体" w:hAnsi="宋体" w:cs="宋体"/>
          <w:highlight w:val="none"/>
          <w:lang w:val="en-US" w:eastAsia="zh-CN"/>
        </w:rPr>
        <w:t>竞标单位授权代表（签字）：</w:t>
      </w:r>
    </w:p>
    <w:p w14:paraId="6CB26769">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竞标单位（加盖公章）:</w:t>
      </w:r>
    </w:p>
    <w:p w14:paraId="45A99F61">
      <w:pPr>
        <w:pStyle w:val="29"/>
        <w:ind w:firstLine="5040" w:firstLineChars="24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520FF933">
      <w:pPr>
        <w:rPr>
          <w:rFonts w:hint="eastAsia" w:ascii="宋体" w:hAnsi="宋体" w:eastAsia="宋体" w:cs="宋体"/>
          <w:highlight w:val="none"/>
        </w:rPr>
      </w:pPr>
      <w:r>
        <w:rPr>
          <w:rFonts w:hint="eastAsia" w:ascii="宋体" w:hAnsi="宋体" w:eastAsia="宋体" w:cs="宋体"/>
          <w:highlight w:val="none"/>
        </w:rPr>
        <w:br w:type="page"/>
      </w:r>
    </w:p>
    <w:p w14:paraId="4D4FB4C9">
      <w:pPr>
        <w:pStyle w:val="30"/>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附件4</w:t>
      </w:r>
    </w:p>
    <w:p w14:paraId="5FC5A538">
      <w:pPr>
        <w:pStyle w:val="29"/>
        <w:ind w:firstLine="420"/>
        <w:jc w:val="center"/>
        <w:outlineLvl w:val="1"/>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"目录" </w:instrText>
      </w:r>
      <w:r>
        <w:rPr>
          <w:rFonts w:hint="eastAsia" w:ascii="宋体" w:hAnsi="宋体" w:eastAsia="宋体" w:cs="宋体"/>
          <w:highlight w:val="none"/>
        </w:rPr>
        <w:fldChar w:fldCharType="separate"/>
      </w:r>
      <w:bookmarkStart w:id="35" w:name="_Toc115362491"/>
      <w:bookmarkStart w:id="36" w:name="_Toc115362807"/>
      <w:bookmarkStart w:id="37" w:name="_Toc115424833"/>
      <w:bookmarkStart w:id="38" w:name="_Toc115362588"/>
      <w:r>
        <w:rPr>
          <w:rStyle w:val="23"/>
          <w:rFonts w:hint="eastAsia" w:ascii="宋体" w:hAnsi="宋体" w:eastAsia="宋体" w:cs="宋体"/>
          <w:color w:val="000000" w:themeColor="text1"/>
          <w:highlight w:val="none"/>
          <w14:textFill>
            <w14:solidFill>
              <w14:schemeClr w14:val="tx1"/>
            </w14:solidFill>
          </w14:textFill>
        </w:rPr>
        <w:t>竞标人承诺函</w:t>
      </w:r>
      <w:bookmarkEnd w:id="35"/>
      <w:bookmarkEnd w:id="36"/>
      <w:bookmarkEnd w:id="37"/>
      <w:bookmarkEnd w:id="38"/>
      <w:r>
        <w:rPr>
          <w:rStyle w:val="23"/>
          <w:rFonts w:hint="eastAsia" w:ascii="宋体" w:hAnsi="宋体" w:eastAsia="宋体" w:cs="宋体"/>
          <w:color w:val="000000" w:themeColor="text1"/>
          <w:highlight w:val="none"/>
          <w14:textFill>
            <w14:solidFill>
              <w14:schemeClr w14:val="tx1"/>
            </w14:solidFill>
          </w14:textFill>
        </w:rPr>
        <w:fldChar w:fldCharType="end"/>
      </w:r>
    </w:p>
    <w:p w14:paraId="7335DDDE">
      <w:pPr>
        <w:pStyle w:val="29"/>
        <w:ind w:firstLine="0" w:firstLineChars="0"/>
        <w:rPr>
          <w:rFonts w:hint="eastAsia" w:ascii="宋体" w:hAnsi="宋体" w:eastAsia="宋体" w:cs="宋体"/>
          <w:highlight w:val="none"/>
        </w:rPr>
      </w:pPr>
      <w:r>
        <w:rPr>
          <w:rFonts w:hint="eastAsia" w:ascii="宋体" w:hAnsi="宋体" w:eastAsia="宋体" w:cs="宋体"/>
          <w:highlight w:val="none"/>
        </w:rPr>
        <w:t>项目名称：</w:t>
      </w:r>
      <w:r>
        <w:rPr>
          <w:rFonts w:hint="eastAsia" w:ascii="宋体" w:hAnsi="宋体" w:eastAsia="宋体" w:cs="宋体"/>
          <w:highlight w:val="none"/>
          <w:u w:val="single"/>
        </w:rPr>
        <w:t xml:space="preserve">                </w:t>
      </w:r>
    </w:p>
    <w:p w14:paraId="1C89C2ED">
      <w:pPr>
        <w:pStyle w:val="29"/>
        <w:ind w:firstLine="0" w:firstLineChars="0"/>
        <w:rPr>
          <w:rFonts w:hint="eastAsia" w:ascii="宋体" w:hAnsi="宋体" w:eastAsia="宋体" w:cs="宋体"/>
          <w:highlight w:val="none"/>
        </w:rPr>
      </w:pPr>
      <w:r>
        <w:rPr>
          <w:rFonts w:hint="eastAsia" w:ascii="宋体" w:hAnsi="宋体" w:eastAsia="宋体" w:cs="宋体"/>
          <w:highlight w:val="none"/>
          <w:lang w:eastAsia="zh-CN"/>
        </w:rPr>
        <w:t>眉山琏升光伏科技有限公司</w:t>
      </w:r>
      <w:r>
        <w:rPr>
          <w:rFonts w:hint="eastAsia" w:ascii="宋体" w:hAnsi="宋体" w:eastAsia="宋体" w:cs="宋体"/>
          <w:highlight w:val="none"/>
        </w:rPr>
        <w:t>：</w:t>
      </w:r>
    </w:p>
    <w:p w14:paraId="6B26C065">
      <w:pPr>
        <w:pStyle w:val="29"/>
        <w:ind w:firstLine="420"/>
        <w:rPr>
          <w:rFonts w:hint="eastAsia" w:ascii="宋体" w:hAnsi="宋体" w:eastAsia="宋体" w:cs="宋体"/>
          <w:highlight w:val="none"/>
        </w:rPr>
      </w:pPr>
      <w:r>
        <w:rPr>
          <w:rFonts w:hint="eastAsia" w:ascii="宋体" w:hAnsi="宋体" w:eastAsia="宋体" w:cs="宋体"/>
          <w:highlight w:val="none"/>
        </w:rPr>
        <w:t>我代表（竞标单位名称），在此做出如下承诺：</w:t>
      </w:r>
    </w:p>
    <w:p w14:paraId="64AC56FE">
      <w:pPr>
        <w:pStyle w:val="29"/>
        <w:ind w:firstLine="420"/>
        <w:outlineLvl w:val="1"/>
        <w:rPr>
          <w:rFonts w:hint="eastAsia" w:ascii="宋体" w:hAnsi="宋体" w:eastAsia="宋体" w:cs="宋体"/>
          <w:highlight w:val="none"/>
        </w:rPr>
      </w:pPr>
      <w:r>
        <w:rPr>
          <w:rFonts w:hint="eastAsia" w:ascii="宋体" w:hAnsi="宋体" w:eastAsia="宋体" w:cs="宋体"/>
          <w:highlight w:val="none"/>
        </w:rPr>
        <w:t>1、完全理解和接受招标文件的一切规定和要求。</w:t>
      </w:r>
    </w:p>
    <w:p w14:paraId="4C1F97EF">
      <w:pPr>
        <w:pStyle w:val="29"/>
        <w:ind w:firstLine="420"/>
        <w:rPr>
          <w:rFonts w:hint="eastAsia" w:ascii="宋体" w:hAnsi="宋体" w:eastAsia="宋体" w:cs="宋体"/>
          <w:highlight w:val="none"/>
        </w:rPr>
      </w:pPr>
      <w:r>
        <w:rPr>
          <w:rFonts w:hint="eastAsia" w:ascii="宋体" w:hAnsi="宋体" w:eastAsia="宋体" w:cs="宋体"/>
          <w:highlight w:val="none"/>
        </w:rPr>
        <w:t>2、我方的竞标报价为固定价，并充分考虑了履行合同期市场等因素变化的风险。在无设备调整的情况下，竞标报价在竞标有效期和合同有效期内固定不变。</w:t>
      </w:r>
    </w:p>
    <w:p w14:paraId="093AFDBE">
      <w:pPr>
        <w:pStyle w:val="29"/>
        <w:ind w:firstLine="420"/>
        <w:rPr>
          <w:rFonts w:hint="eastAsia" w:ascii="宋体" w:hAnsi="宋体" w:eastAsia="宋体" w:cs="宋体"/>
          <w:highlight w:val="none"/>
        </w:rPr>
      </w:pPr>
      <w:r>
        <w:rPr>
          <w:rFonts w:hint="eastAsia" w:ascii="宋体" w:hAnsi="宋体" w:eastAsia="宋体" w:cs="宋体"/>
          <w:highlight w:val="none"/>
        </w:rPr>
        <w:t>3、若中标，我方将按照招标文件的具体规定</w:t>
      </w:r>
      <w:r>
        <w:rPr>
          <w:rFonts w:hint="eastAsia" w:ascii="宋体" w:hAnsi="宋体" w:cs="宋体"/>
          <w:color w:val="auto"/>
          <w:highlight w:val="none"/>
          <w:lang w:val="en-US" w:eastAsia="zh-CN"/>
        </w:rPr>
        <w:t>及合同模板</w:t>
      </w:r>
      <w:r>
        <w:rPr>
          <w:rFonts w:hint="eastAsia" w:ascii="宋体" w:hAnsi="宋体" w:eastAsia="宋体" w:cs="宋体"/>
          <w:highlight w:val="none"/>
        </w:rPr>
        <w:t>与招标人签订合同，并且严格按合同规定向招标方履行合同义务，为招标方提供优质的设备、项目安装和服务，按要求</w:t>
      </w:r>
      <w:r>
        <w:rPr>
          <w:rFonts w:hint="eastAsia" w:ascii="宋体" w:hAnsi="宋体" w:cs="宋体"/>
          <w:color w:val="auto"/>
          <w:highlight w:val="none"/>
          <w:lang w:val="en-US" w:eastAsia="zh-CN"/>
        </w:rPr>
        <w:t>采购合同要求时间按时、按质、按量完成设备</w:t>
      </w:r>
      <w:r>
        <w:rPr>
          <w:rFonts w:hint="eastAsia" w:ascii="宋体" w:hAnsi="宋体" w:eastAsia="宋体" w:cs="宋体"/>
          <w:highlight w:val="none"/>
        </w:rPr>
        <w:t>交付</w:t>
      </w:r>
      <w:r>
        <w:rPr>
          <w:rFonts w:hint="eastAsia" w:ascii="宋体" w:hAnsi="宋体" w:cs="宋体"/>
          <w:color w:val="auto"/>
          <w:highlight w:val="none"/>
          <w:lang w:val="en-US" w:eastAsia="zh-CN"/>
        </w:rPr>
        <w:t>、安装调试、售后服务等</w:t>
      </w:r>
      <w:r>
        <w:rPr>
          <w:rFonts w:hint="eastAsia" w:ascii="宋体" w:hAnsi="宋体" w:eastAsia="宋体" w:cs="宋体"/>
          <w:highlight w:val="none"/>
        </w:rPr>
        <w:t>。如果在合同执行过程中，发现设备质量问题、有缺陷和技术资料有错误，或者由于</w:t>
      </w:r>
      <w:r>
        <w:rPr>
          <w:rFonts w:hint="eastAsia" w:ascii="宋体" w:hAnsi="宋体" w:cs="宋体"/>
          <w:color w:val="auto"/>
          <w:highlight w:val="none"/>
          <w:lang w:val="en-US" w:eastAsia="zh-CN"/>
        </w:rPr>
        <w:t>我方</w:t>
      </w:r>
      <w:r>
        <w:rPr>
          <w:rFonts w:hint="eastAsia" w:ascii="宋体" w:hAnsi="宋体" w:eastAsia="宋体" w:cs="宋体"/>
          <w:highlight w:val="none"/>
        </w:rPr>
        <w:t>技术人员指导错误和疏忽影响</w:t>
      </w:r>
      <w:r>
        <w:rPr>
          <w:rFonts w:hint="eastAsia" w:ascii="宋体" w:hAnsi="宋体" w:cs="宋体"/>
          <w:color w:val="auto"/>
          <w:highlight w:val="none"/>
          <w:lang w:val="en-US" w:eastAsia="zh-CN"/>
        </w:rPr>
        <w:t>招标人</w:t>
      </w:r>
      <w:r>
        <w:rPr>
          <w:rFonts w:hint="eastAsia" w:ascii="宋体" w:hAnsi="宋体" w:eastAsia="宋体" w:cs="宋体"/>
          <w:highlight w:val="none"/>
        </w:rPr>
        <w:t>正常</w:t>
      </w:r>
      <w:r>
        <w:rPr>
          <w:rFonts w:hint="eastAsia" w:ascii="宋体" w:hAnsi="宋体" w:cs="宋体"/>
          <w:color w:val="auto"/>
          <w:highlight w:val="none"/>
          <w:lang w:val="en-US" w:eastAsia="zh-CN"/>
        </w:rPr>
        <w:t>生产的</w:t>
      </w:r>
      <w:r>
        <w:rPr>
          <w:rFonts w:hint="eastAsia" w:ascii="宋体" w:hAnsi="宋体" w:eastAsia="宋体" w:cs="宋体"/>
          <w:highlight w:val="none"/>
        </w:rPr>
        <w:t>，应立即无偿</w:t>
      </w:r>
      <w:r>
        <w:rPr>
          <w:rFonts w:hint="eastAsia" w:ascii="宋体" w:hAnsi="宋体" w:cs="宋体"/>
          <w:color w:val="auto"/>
          <w:highlight w:val="none"/>
          <w:lang w:val="en-US" w:eastAsia="zh-CN"/>
        </w:rPr>
        <w:t>采取有效措施弥补</w:t>
      </w:r>
      <w:r>
        <w:rPr>
          <w:rFonts w:hint="eastAsia" w:ascii="宋体" w:hAnsi="宋体" w:eastAsia="宋体" w:cs="宋体"/>
          <w:highlight w:val="none"/>
        </w:rPr>
        <w:t>。如给贵方造成损失</w:t>
      </w:r>
      <w:r>
        <w:rPr>
          <w:rFonts w:hint="eastAsia" w:ascii="宋体" w:hAnsi="宋体" w:cs="宋体"/>
          <w:color w:val="auto"/>
          <w:highlight w:val="none"/>
          <w:lang w:eastAsia="zh-CN"/>
        </w:rPr>
        <w:t>（</w:t>
      </w:r>
      <w:r>
        <w:rPr>
          <w:rFonts w:hint="eastAsia" w:ascii="宋体" w:hAnsi="宋体" w:eastAsia="宋体" w:cs="宋体"/>
        </w:rPr>
        <w:t>包括但不限于</w:t>
      </w:r>
      <w:r>
        <w:rPr>
          <w:rFonts w:hint="eastAsia" w:ascii="宋体" w:hAnsi="宋体" w:cs="宋体"/>
          <w:lang w:val="en-US" w:eastAsia="zh-CN"/>
        </w:rPr>
        <w:t>财产损失、人身损失、名誉损失、向第三方承担的违约金、赔偿金、补偿金、罚款、罚金</w:t>
      </w:r>
      <w:r>
        <w:rPr>
          <w:rFonts w:hint="eastAsia" w:ascii="宋体" w:hAnsi="宋体" w:eastAsia="宋体" w:cs="宋体"/>
        </w:rPr>
        <w:t>等</w:t>
      </w:r>
      <w:r>
        <w:rPr>
          <w:rFonts w:hint="eastAsia" w:ascii="宋体" w:hAnsi="宋体" w:cs="宋体"/>
          <w:lang w:eastAsia="zh-CN"/>
        </w:rPr>
        <w:t>）</w:t>
      </w:r>
      <w:r>
        <w:rPr>
          <w:rFonts w:hint="eastAsia" w:ascii="宋体" w:hAnsi="宋体" w:eastAsia="宋体" w:cs="宋体"/>
          <w:highlight w:val="none"/>
        </w:rPr>
        <w:t>，将全额赔偿。</w:t>
      </w:r>
    </w:p>
    <w:p w14:paraId="42EED494">
      <w:pPr>
        <w:pStyle w:val="29"/>
        <w:ind w:firstLine="420"/>
        <w:rPr>
          <w:rFonts w:hint="eastAsia" w:ascii="宋体" w:hAnsi="宋体" w:eastAsia="宋体" w:cs="宋体"/>
          <w:highlight w:val="none"/>
        </w:rPr>
      </w:pPr>
      <w:r>
        <w:rPr>
          <w:rFonts w:hint="eastAsia" w:ascii="宋体" w:hAnsi="宋体" w:eastAsia="宋体" w:cs="宋体"/>
          <w:highlight w:val="none"/>
        </w:rPr>
        <w:t>4、我方已经详细阅读了招标文件，包括澄清文件、修改（如果有）和所有供参考的资料以及有关附件，并清楚今后无权再对此提出理解不清或误解的问题。</w:t>
      </w:r>
    </w:p>
    <w:p w14:paraId="4ADDC1AD">
      <w:pPr>
        <w:pStyle w:val="29"/>
        <w:ind w:firstLine="420"/>
        <w:rPr>
          <w:rFonts w:hint="eastAsia" w:ascii="宋体" w:hAnsi="宋体" w:eastAsia="宋体" w:cs="宋体"/>
          <w:highlight w:val="none"/>
        </w:rPr>
      </w:pPr>
      <w:r>
        <w:rPr>
          <w:rFonts w:hint="eastAsia" w:ascii="宋体" w:hAnsi="宋体" w:eastAsia="宋体" w:cs="宋体"/>
          <w:highlight w:val="none"/>
        </w:rPr>
        <w:t>5、在整个招、竞标过程中，我方若有</w:t>
      </w:r>
      <w:r>
        <w:rPr>
          <w:rFonts w:hint="eastAsia" w:ascii="宋体" w:hAnsi="宋体" w:eastAsia="宋体" w:cs="宋体"/>
          <w:highlight w:val="none"/>
          <w:lang w:val="en-US" w:eastAsia="zh-CN"/>
        </w:rPr>
        <w:t>违法</w:t>
      </w:r>
      <w:r>
        <w:rPr>
          <w:rFonts w:hint="eastAsia" w:ascii="宋体" w:hAnsi="宋体" w:eastAsia="宋体" w:cs="宋体"/>
          <w:highlight w:val="none"/>
        </w:rPr>
        <w:t>违规</w:t>
      </w:r>
      <w:r>
        <w:rPr>
          <w:rFonts w:hint="eastAsia" w:ascii="宋体" w:hAnsi="宋体" w:eastAsia="宋体" w:cs="宋体"/>
          <w:highlight w:val="none"/>
          <w:lang w:val="en-US" w:eastAsia="zh-CN"/>
        </w:rPr>
        <w:t>违约</w:t>
      </w:r>
      <w:r>
        <w:rPr>
          <w:rFonts w:hint="eastAsia" w:ascii="宋体" w:hAnsi="宋体" w:eastAsia="宋体" w:cs="宋体"/>
          <w:highlight w:val="none"/>
        </w:rPr>
        <w:t>行为，贵方可按</w:t>
      </w:r>
      <w:r>
        <w:rPr>
          <w:rFonts w:hint="eastAsia" w:ascii="宋体" w:hAnsi="宋体" w:eastAsia="宋体" w:cs="宋体"/>
          <w:highlight w:val="none"/>
          <w:lang w:val="en-US" w:eastAsia="zh-CN"/>
        </w:rPr>
        <w:t>法律法规、</w:t>
      </w:r>
      <w:r>
        <w:rPr>
          <w:rFonts w:hint="eastAsia" w:ascii="宋体" w:hAnsi="宋体" w:eastAsia="宋体" w:cs="宋体"/>
          <w:highlight w:val="none"/>
        </w:rPr>
        <w:t>招标文件</w:t>
      </w:r>
      <w:r>
        <w:rPr>
          <w:rFonts w:hint="eastAsia" w:ascii="宋体" w:hAnsi="宋体" w:eastAsia="宋体" w:cs="宋体"/>
          <w:highlight w:val="none"/>
          <w:lang w:val="en-US" w:eastAsia="zh-CN"/>
        </w:rPr>
        <w:t>及其他约定处理</w:t>
      </w:r>
      <w:r>
        <w:rPr>
          <w:rFonts w:hint="eastAsia" w:ascii="宋体" w:hAnsi="宋体" w:eastAsia="宋体" w:cs="宋体"/>
          <w:highlight w:val="none"/>
        </w:rPr>
        <w:t>，我方完全接受。</w:t>
      </w:r>
    </w:p>
    <w:p w14:paraId="499C834E">
      <w:pPr>
        <w:pStyle w:val="29"/>
        <w:ind w:firstLine="420"/>
        <w:rPr>
          <w:rFonts w:hint="eastAsia" w:ascii="宋体" w:hAnsi="宋体" w:eastAsia="宋体" w:cs="宋体"/>
          <w:highlight w:val="none"/>
        </w:rPr>
      </w:pPr>
      <w:r>
        <w:rPr>
          <w:rFonts w:hint="eastAsia" w:ascii="宋体" w:hAnsi="宋体" w:eastAsia="宋体" w:cs="宋体"/>
          <w:highlight w:val="none"/>
        </w:rPr>
        <w:t>6、我方保证所提供的设备是全新的、先进的、成熟的、质量优良的，其选型均符合安全可靠、长期稳定、经济运行和易于维护的要求。</w:t>
      </w:r>
    </w:p>
    <w:p w14:paraId="5A2B5279">
      <w:pPr>
        <w:pStyle w:val="29"/>
        <w:ind w:firstLine="420"/>
        <w:rPr>
          <w:rFonts w:hint="eastAsia" w:ascii="宋体" w:hAnsi="宋体" w:eastAsia="宋体" w:cs="宋体"/>
          <w:highlight w:val="none"/>
        </w:rPr>
      </w:pPr>
      <w:r>
        <w:rPr>
          <w:rFonts w:hint="eastAsia" w:ascii="宋体" w:hAnsi="宋体" w:eastAsia="宋体" w:cs="宋体"/>
          <w:highlight w:val="none"/>
        </w:rPr>
        <w:t>7、我方保证所交付的技术资料完整和内容正确，并能满足合同设备的设计、安装、试验、运行和维修的要求，所提供的设备</w:t>
      </w:r>
      <w:r>
        <w:rPr>
          <w:rFonts w:hint="eastAsia" w:ascii="宋体" w:hAnsi="宋体" w:cs="宋体"/>
          <w:color w:val="auto"/>
          <w:highlight w:val="none"/>
          <w:lang w:val="en-US" w:eastAsia="zh-CN"/>
        </w:rPr>
        <w:t>性能及</w:t>
      </w:r>
      <w:r>
        <w:rPr>
          <w:rFonts w:hint="eastAsia" w:ascii="宋体" w:hAnsi="宋体" w:eastAsia="宋体" w:cs="宋体"/>
          <w:highlight w:val="none"/>
        </w:rPr>
        <w:t>参数满足或超过招标文件中的技术要求，并且能够按照贵方的要求及时提供。</w:t>
      </w:r>
    </w:p>
    <w:p w14:paraId="1715F444">
      <w:pPr>
        <w:pStyle w:val="29"/>
        <w:ind w:firstLine="420"/>
        <w:rPr>
          <w:rFonts w:hint="eastAsia" w:ascii="宋体" w:hAnsi="宋体" w:eastAsia="宋体" w:cs="宋体"/>
          <w:highlight w:val="none"/>
        </w:rPr>
      </w:pPr>
      <w:r>
        <w:rPr>
          <w:rFonts w:hint="eastAsia" w:ascii="宋体" w:hAnsi="宋体" w:eastAsia="宋体" w:cs="宋体"/>
          <w:highlight w:val="none"/>
        </w:rPr>
        <w:t>8、竞标单位在参加本次招标前已经对本项目进行充分的了解，也清楚的了解到本项目的重要性及紧迫性，因</w:t>
      </w:r>
      <w:r>
        <w:rPr>
          <w:rFonts w:hint="eastAsia" w:ascii="宋体" w:hAnsi="宋体" w:eastAsia="宋体" w:cs="宋体"/>
          <w:highlight w:val="none"/>
          <w:lang w:val="en-US" w:eastAsia="zh-CN"/>
        </w:rPr>
        <w:t>竞标单位</w:t>
      </w:r>
      <w:r>
        <w:rPr>
          <w:rFonts w:hint="eastAsia" w:ascii="宋体" w:hAnsi="宋体" w:eastAsia="宋体" w:cs="宋体"/>
          <w:highlight w:val="none"/>
        </w:rPr>
        <w:t>原因（包括不限于违约行为）致使项目建设各个环节和时间节点（如：到货、安装调试、</w:t>
      </w:r>
      <w:r>
        <w:rPr>
          <w:rFonts w:hint="eastAsia" w:ascii="宋体" w:hAnsi="宋体" w:cs="宋体"/>
          <w:highlight w:val="none"/>
          <w:lang w:val="en-US" w:eastAsia="zh-CN"/>
        </w:rPr>
        <w:t>质保服务</w:t>
      </w:r>
      <w:r>
        <w:rPr>
          <w:rFonts w:hint="eastAsia" w:ascii="宋体" w:hAnsi="宋体" w:eastAsia="宋体" w:cs="宋体"/>
          <w:highlight w:val="none"/>
        </w:rPr>
        <w:t>等）未能按时达成、设备（包含材料）存在质量问题或验收时未发现而在使用</w:t>
      </w:r>
      <w:r>
        <w:rPr>
          <w:rFonts w:hint="eastAsia" w:ascii="宋体" w:hAnsi="宋体" w:cs="宋体"/>
          <w:highlight w:val="none"/>
          <w:lang w:val="en-US" w:eastAsia="zh-CN"/>
        </w:rPr>
        <w:t>过程</w:t>
      </w:r>
      <w:r>
        <w:rPr>
          <w:rFonts w:hint="eastAsia" w:ascii="宋体" w:hAnsi="宋体" w:eastAsia="宋体" w:cs="宋体"/>
          <w:highlight w:val="none"/>
        </w:rPr>
        <w:t>中出现的质量问题等情况的出现都将给</w:t>
      </w:r>
      <w:r>
        <w:rPr>
          <w:rFonts w:hint="eastAsia" w:ascii="宋体" w:hAnsi="宋体" w:eastAsia="宋体" w:cs="宋体"/>
          <w:highlight w:val="none"/>
          <w:lang w:val="en-US" w:eastAsia="zh-CN"/>
        </w:rPr>
        <w:t>贵司</w:t>
      </w:r>
      <w:r>
        <w:rPr>
          <w:rFonts w:hint="eastAsia" w:ascii="宋体" w:hAnsi="宋体" w:eastAsia="宋体" w:cs="宋体"/>
          <w:highlight w:val="none"/>
        </w:rPr>
        <w:t>造成巨大的损失。为此，各竞标单位在知悉前述情况下同意参标，并承诺若中标自愿承担因</w:t>
      </w:r>
      <w:r>
        <w:rPr>
          <w:rFonts w:hint="eastAsia" w:ascii="宋体" w:hAnsi="宋体" w:eastAsia="宋体" w:cs="宋体"/>
          <w:highlight w:val="none"/>
          <w:lang w:val="en-US" w:eastAsia="zh-CN"/>
        </w:rPr>
        <w:t>竞标单位</w:t>
      </w:r>
      <w:r>
        <w:rPr>
          <w:rFonts w:hint="eastAsia" w:ascii="宋体" w:hAnsi="宋体" w:eastAsia="宋体" w:cs="宋体"/>
          <w:highlight w:val="none"/>
        </w:rPr>
        <w:t>原因（包括不限于违约行为）所导致的</w:t>
      </w:r>
      <w:r>
        <w:rPr>
          <w:rFonts w:hint="eastAsia" w:ascii="宋体" w:hAnsi="宋体" w:eastAsia="宋体" w:cs="宋体"/>
          <w:highlight w:val="none"/>
          <w:lang w:val="en-US" w:eastAsia="zh-CN"/>
        </w:rPr>
        <w:t>招标人的全部</w:t>
      </w:r>
      <w:r>
        <w:rPr>
          <w:rFonts w:hint="eastAsia" w:ascii="宋体" w:hAnsi="宋体" w:eastAsia="宋体" w:cs="宋体"/>
          <w:highlight w:val="none"/>
        </w:rPr>
        <w:t>“合理损失”。本协议约定的“合理损失”合理损失包括不限于：</w:t>
      </w:r>
      <w:r>
        <w:rPr>
          <w:rFonts w:hint="eastAsia" w:ascii="宋体" w:hAnsi="宋体" w:cs="宋体"/>
          <w:lang w:val="en-US" w:eastAsia="zh-CN"/>
        </w:rPr>
        <w:t>贵方产生的财产损失、人身损失、名誉损失、向第三方承担的违约金、赔偿金、补偿金、罚款、罚金、误工损失</w:t>
      </w:r>
      <w:r>
        <w:rPr>
          <w:rFonts w:hint="eastAsia" w:ascii="宋体" w:hAnsi="宋体" w:eastAsia="宋体" w:cs="宋体"/>
        </w:rPr>
        <w:t>等</w:t>
      </w:r>
      <w:r>
        <w:rPr>
          <w:rFonts w:hint="eastAsia" w:ascii="宋体" w:hAnsi="宋体" w:eastAsia="宋体" w:cs="宋体"/>
          <w:highlight w:val="none"/>
        </w:rPr>
        <w:t>；因</w:t>
      </w:r>
      <w:r>
        <w:rPr>
          <w:rFonts w:hint="eastAsia" w:ascii="宋体" w:hAnsi="宋体" w:eastAsia="宋体" w:cs="宋体"/>
          <w:highlight w:val="none"/>
          <w:lang w:val="en-US" w:eastAsia="zh-CN"/>
        </w:rPr>
        <w:t>竞标单位</w:t>
      </w:r>
      <w:r>
        <w:rPr>
          <w:rFonts w:hint="eastAsia" w:ascii="宋体" w:hAnsi="宋体" w:eastAsia="宋体" w:cs="宋体"/>
          <w:highlight w:val="none"/>
        </w:rPr>
        <w:t>原因导致</w:t>
      </w:r>
      <w:r>
        <w:rPr>
          <w:rFonts w:hint="eastAsia" w:ascii="宋体" w:hAnsi="宋体" w:cs="宋体"/>
          <w:lang w:val="en-US" w:eastAsia="zh-CN"/>
        </w:rPr>
        <w:t>贵方无法正常生产经营</w:t>
      </w:r>
      <w:r>
        <w:rPr>
          <w:rFonts w:hint="eastAsia" w:ascii="宋体" w:hAnsi="宋体" w:eastAsia="宋体" w:cs="宋体"/>
          <w:highlight w:val="none"/>
        </w:rPr>
        <w:t>造成的产能损失；其他的“合理损失”。</w:t>
      </w:r>
    </w:p>
    <w:p w14:paraId="6940733A">
      <w:pPr>
        <w:pStyle w:val="29"/>
        <w:ind w:firstLine="420"/>
        <w:outlineLvl w:val="1"/>
        <w:rPr>
          <w:rFonts w:hint="eastAsia" w:ascii="宋体" w:hAnsi="宋体" w:eastAsia="宋体" w:cs="宋体"/>
          <w:highlight w:val="none"/>
          <w:lang w:eastAsia="zh-CN"/>
        </w:rPr>
      </w:pPr>
      <w:r>
        <w:rPr>
          <w:rFonts w:hint="eastAsia" w:ascii="宋体" w:hAnsi="宋体" w:eastAsia="宋体" w:cs="宋体"/>
          <w:highlight w:val="none"/>
        </w:rPr>
        <w:t>9、其他承诺</w:t>
      </w:r>
      <w:r>
        <w:rPr>
          <w:rFonts w:hint="eastAsia" w:ascii="宋体" w:hAnsi="宋体" w:eastAsia="宋体" w:cs="宋体"/>
          <w:highlight w:val="none"/>
          <w:lang w:eastAsia="zh-CN"/>
        </w:rPr>
        <w:t>：</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若无，请划斜线。</w:t>
      </w:r>
      <w:r>
        <w:rPr>
          <w:rFonts w:hint="eastAsia" w:ascii="宋体" w:hAnsi="宋体" w:eastAsia="宋体" w:cs="宋体"/>
          <w:highlight w:val="none"/>
          <w:lang w:eastAsia="zh-CN"/>
        </w:rPr>
        <w:t>）</w:t>
      </w:r>
    </w:p>
    <w:p w14:paraId="630BB101">
      <w:pPr>
        <w:pStyle w:val="29"/>
        <w:ind w:firstLine="5040" w:firstLineChars="2400"/>
        <w:rPr>
          <w:rFonts w:hint="eastAsia" w:ascii="宋体" w:hAnsi="宋体" w:cs="宋体"/>
          <w:color w:val="auto"/>
          <w:highlight w:val="none"/>
        </w:rPr>
      </w:pPr>
    </w:p>
    <w:p w14:paraId="4EF5AFE0">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竞标单位授权代表（签字或盖章）:</w:t>
      </w:r>
    </w:p>
    <w:p w14:paraId="64145C40">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竞标单位（加盖公章）:</w:t>
      </w:r>
    </w:p>
    <w:p w14:paraId="58A17685">
      <w:pPr>
        <w:pStyle w:val="29"/>
        <w:ind w:firstLine="5040" w:firstLineChars="24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7DC58BEC">
      <w:pPr>
        <w:rPr>
          <w:rFonts w:hint="eastAsia" w:ascii="宋体" w:hAnsi="宋体" w:eastAsia="宋体" w:cs="宋体"/>
          <w:highlight w:val="none"/>
        </w:rPr>
      </w:pPr>
      <w:r>
        <w:rPr>
          <w:rFonts w:hint="eastAsia" w:ascii="宋体" w:hAnsi="宋体" w:eastAsia="宋体" w:cs="宋体"/>
          <w:highlight w:val="none"/>
        </w:rPr>
        <w:br w:type="page"/>
      </w:r>
    </w:p>
    <w:p w14:paraId="569CD1A4">
      <w:pPr>
        <w:pStyle w:val="30"/>
        <w:ind w:firstLine="0" w:firstLineChars="0"/>
        <w:outlineLvl w:val="2"/>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附件5</w:t>
      </w:r>
    </w:p>
    <w:p w14:paraId="6269946F">
      <w:pPr>
        <w:pStyle w:val="29"/>
        <w:ind w:firstLine="420"/>
        <w:jc w:val="center"/>
        <w:outlineLvl w:val="1"/>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"目录" </w:instrText>
      </w:r>
      <w:r>
        <w:rPr>
          <w:rFonts w:hint="eastAsia" w:ascii="宋体" w:hAnsi="宋体" w:eastAsia="宋体" w:cs="宋体"/>
          <w:highlight w:val="none"/>
        </w:rPr>
        <w:fldChar w:fldCharType="separate"/>
      </w:r>
      <w:bookmarkStart w:id="39" w:name="_Toc115424834"/>
      <w:bookmarkStart w:id="40" w:name="_Toc115362492"/>
      <w:bookmarkStart w:id="41" w:name="_Toc115362808"/>
      <w:bookmarkStart w:id="42" w:name="_Toc115362589"/>
      <w:r>
        <w:rPr>
          <w:rStyle w:val="23"/>
          <w:rFonts w:hint="eastAsia" w:ascii="宋体" w:hAnsi="宋体" w:eastAsia="宋体" w:cs="宋体"/>
          <w:color w:val="000000" w:themeColor="text1"/>
          <w:highlight w:val="none"/>
          <w14:textFill>
            <w14:solidFill>
              <w14:schemeClr w14:val="tx1"/>
            </w14:solidFill>
          </w14:textFill>
        </w:rPr>
        <w:t>开标一览表</w:t>
      </w:r>
      <w:bookmarkEnd w:id="39"/>
      <w:bookmarkEnd w:id="40"/>
      <w:bookmarkEnd w:id="41"/>
      <w:bookmarkEnd w:id="42"/>
      <w:r>
        <w:rPr>
          <w:rStyle w:val="23"/>
          <w:rFonts w:hint="eastAsia" w:ascii="宋体" w:hAnsi="宋体" w:eastAsia="宋体" w:cs="宋体"/>
          <w:color w:val="000000" w:themeColor="text1"/>
          <w:highlight w:val="none"/>
          <w14:textFill>
            <w14:solidFill>
              <w14:schemeClr w14:val="tx1"/>
            </w14:solidFill>
          </w14:textFill>
        </w:rPr>
        <w:fldChar w:fldCharType="end"/>
      </w:r>
    </w:p>
    <w:p w14:paraId="4311A155">
      <w:pPr>
        <w:pStyle w:val="29"/>
        <w:ind w:firstLine="0" w:firstLineChars="0"/>
        <w:rPr>
          <w:rFonts w:hint="eastAsia" w:ascii="宋体" w:hAnsi="宋体" w:eastAsia="宋体" w:cs="宋体"/>
          <w:highlight w:val="none"/>
        </w:rPr>
      </w:pPr>
      <w:r>
        <w:rPr>
          <w:rFonts w:hint="eastAsia" w:ascii="宋体" w:hAnsi="宋体" w:eastAsia="宋体" w:cs="宋体"/>
          <w:highlight w:val="none"/>
        </w:rPr>
        <w:t>竞标人名称：</w:t>
      </w:r>
    </w:p>
    <w:p w14:paraId="22E4AD8F">
      <w:pPr>
        <w:pStyle w:val="29"/>
        <w:ind w:firstLine="0" w:firstLineChars="0"/>
        <w:rPr>
          <w:rFonts w:hint="eastAsia" w:ascii="宋体" w:hAnsi="宋体" w:eastAsia="宋体" w:cs="宋体"/>
          <w:highlight w:val="none"/>
        </w:rPr>
      </w:pPr>
      <w:r>
        <w:rPr>
          <w:rFonts w:hint="eastAsia" w:ascii="宋体" w:hAnsi="宋体" w:eastAsia="宋体" w:cs="宋体"/>
          <w:highlight w:val="none"/>
        </w:rPr>
        <w:t>项目名称：</w:t>
      </w:r>
    </w:p>
    <w:p w14:paraId="3581A44E">
      <w:pPr>
        <w:pStyle w:val="29"/>
        <w:ind w:firstLine="0" w:firstLineChars="0"/>
        <w:rPr>
          <w:rFonts w:hint="eastAsia" w:ascii="宋体" w:hAnsi="宋体" w:eastAsia="宋体" w:cs="宋体"/>
          <w:highlight w:val="none"/>
        </w:rPr>
      </w:pPr>
    </w:p>
    <w:tbl>
      <w:tblPr>
        <w:tblStyle w:val="20"/>
        <w:tblW w:w="4990" w:type="pct"/>
        <w:tblInd w:w="0" w:type="dxa"/>
        <w:tblLayout w:type="autofit"/>
        <w:tblCellMar>
          <w:top w:w="0" w:type="dxa"/>
          <w:left w:w="108" w:type="dxa"/>
          <w:bottom w:w="0" w:type="dxa"/>
          <w:right w:w="108" w:type="dxa"/>
        </w:tblCellMar>
      </w:tblPr>
      <w:tblGrid>
        <w:gridCol w:w="1463"/>
        <w:gridCol w:w="767"/>
        <w:gridCol w:w="808"/>
        <w:gridCol w:w="814"/>
        <w:gridCol w:w="826"/>
        <w:gridCol w:w="814"/>
        <w:gridCol w:w="814"/>
        <w:gridCol w:w="1056"/>
        <w:gridCol w:w="1223"/>
        <w:gridCol w:w="1392"/>
      </w:tblGrid>
      <w:tr w14:paraId="286C1220">
        <w:tblPrEx>
          <w:tblCellMar>
            <w:top w:w="0" w:type="dxa"/>
            <w:left w:w="108" w:type="dxa"/>
            <w:bottom w:w="0" w:type="dxa"/>
            <w:right w:w="108" w:type="dxa"/>
          </w:tblCellMar>
        </w:tblPrEx>
        <w:trPr>
          <w:trHeight w:val="660" w:hRule="atLeast"/>
        </w:trPr>
        <w:tc>
          <w:tcPr>
            <w:tcW w:w="7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3F9D00">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项目名称</w:t>
            </w:r>
          </w:p>
        </w:tc>
        <w:tc>
          <w:tcPr>
            <w:tcW w:w="3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2A20E6">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数量</w:t>
            </w:r>
          </w:p>
        </w:tc>
        <w:tc>
          <w:tcPr>
            <w:tcW w:w="1227" w:type="pct"/>
            <w:gridSpan w:val="3"/>
            <w:tcBorders>
              <w:top w:val="single" w:color="auto" w:sz="4" w:space="0"/>
              <w:left w:val="nil"/>
              <w:bottom w:val="single" w:color="auto" w:sz="4" w:space="0"/>
              <w:right w:val="single" w:color="auto" w:sz="4" w:space="0"/>
            </w:tcBorders>
            <w:shd w:val="clear" w:color="auto" w:fill="auto"/>
            <w:vAlign w:val="center"/>
          </w:tcPr>
          <w:p w14:paraId="6FBDC0E8">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竞标价格</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4E5F3D">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付款方式</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F85D07">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交货地点</w:t>
            </w:r>
          </w:p>
        </w:tc>
        <w:tc>
          <w:tcPr>
            <w:tcW w:w="5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14FCB9">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交货期（天）</w:t>
            </w:r>
          </w:p>
        </w:tc>
        <w:tc>
          <w:tcPr>
            <w:tcW w:w="6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3401DB">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质保期（验收后）</w:t>
            </w:r>
          </w:p>
        </w:tc>
        <w:tc>
          <w:tcPr>
            <w:tcW w:w="69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7C540E3">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发票类型</w:t>
            </w:r>
          </w:p>
        </w:tc>
      </w:tr>
      <w:tr w14:paraId="235D7724">
        <w:tblPrEx>
          <w:tblCellMar>
            <w:top w:w="0" w:type="dxa"/>
            <w:left w:w="108" w:type="dxa"/>
            <w:bottom w:w="0" w:type="dxa"/>
            <w:right w:w="108" w:type="dxa"/>
          </w:tblCellMar>
        </w:tblPrEx>
        <w:trPr>
          <w:trHeight w:val="750" w:hRule="atLeast"/>
        </w:trPr>
        <w:tc>
          <w:tcPr>
            <w:tcW w:w="733" w:type="pct"/>
            <w:vMerge w:val="continue"/>
            <w:tcBorders>
              <w:top w:val="single" w:color="auto" w:sz="4" w:space="0"/>
              <w:left w:val="single" w:color="auto" w:sz="4" w:space="0"/>
              <w:bottom w:val="single" w:color="auto" w:sz="4" w:space="0"/>
              <w:right w:val="single" w:color="auto" w:sz="4" w:space="0"/>
            </w:tcBorders>
            <w:vAlign w:val="center"/>
          </w:tcPr>
          <w:p w14:paraId="556DFDBC">
            <w:pPr>
              <w:rPr>
                <w:rFonts w:hint="eastAsia" w:ascii="宋体" w:hAnsi="宋体" w:eastAsia="宋体" w:cs="宋体"/>
                <w:color w:val="000000"/>
                <w:szCs w:val="21"/>
                <w:highlight w:val="none"/>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14:paraId="6FA0EECF">
            <w:pPr>
              <w:rPr>
                <w:rFonts w:hint="eastAsia" w:ascii="宋体" w:hAnsi="宋体" w:eastAsia="宋体" w:cs="宋体"/>
                <w:color w:val="000000"/>
                <w:szCs w:val="21"/>
                <w:highlight w:val="none"/>
              </w:rPr>
            </w:pPr>
          </w:p>
        </w:tc>
        <w:tc>
          <w:tcPr>
            <w:tcW w:w="405" w:type="pct"/>
            <w:tcBorders>
              <w:top w:val="nil"/>
              <w:left w:val="nil"/>
              <w:bottom w:val="single" w:color="auto" w:sz="4" w:space="0"/>
              <w:right w:val="single" w:color="auto" w:sz="4" w:space="0"/>
            </w:tcBorders>
            <w:shd w:val="clear" w:color="auto" w:fill="auto"/>
            <w:vAlign w:val="center"/>
          </w:tcPr>
          <w:p w14:paraId="2E404BFB">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单价</w:t>
            </w:r>
          </w:p>
        </w:tc>
        <w:tc>
          <w:tcPr>
            <w:tcW w:w="408" w:type="pct"/>
            <w:tcBorders>
              <w:top w:val="nil"/>
              <w:left w:val="nil"/>
              <w:bottom w:val="single" w:color="auto" w:sz="4" w:space="0"/>
              <w:right w:val="single" w:color="auto" w:sz="4" w:space="0"/>
            </w:tcBorders>
            <w:shd w:val="clear" w:color="auto" w:fill="auto"/>
            <w:vAlign w:val="center"/>
          </w:tcPr>
          <w:p w14:paraId="5FCBDFDE">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总价</w:t>
            </w:r>
          </w:p>
        </w:tc>
        <w:tc>
          <w:tcPr>
            <w:tcW w:w="413" w:type="pct"/>
            <w:tcBorders>
              <w:top w:val="nil"/>
              <w:left w:val="nil"/>
              <w:bottom w:val="single" w:color="auto" w:sz="4" w:space="0"/>
              <w:right w:val="single" w:color="auto" w:sz="4" w:space="0"/>
            </w:tcBorders>
            <w:shd w:val="clear" w:color="auto" w:fill="auto"/>
            <w:vAlign w:val="center"/>
          </w:tcPr>
          <w:p w14:paraId="59D4D01B">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币种</w:t>
            </w: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7D6030BB">
            <w:pPr>
              <w:rPr>
                <w:rFonts w:hint="eastAsia" w:ascii="宋体" w:hAnsi="宋体" w:eastAsia="宋体" w:cs="宋体"/>
                <w:color w:val="000000"/>
                <w:szCs w:val="21"/>
                <w:highlight w:val="none"/>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0298D668">
            <w:pPr>
              <w:rPr>
                <w:rFonts w:hint="eastAsia" w:ascii="宋体" w:hAnsi="宋体" w:eastAsia="宋体" w:cs="宋体"/>
                <w:color w:val="000000"/>
                <w:szCs w:val="21"/>
                <w:highlight w:val="none"/>
              </w:rPr>
            </w:pP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409F0CA7">
            <w:pPr>
              <w:rPr>
                <w:rFonts w:hint="eastAsia" w:ascii="宋体" w:hAnsi="宋体" w:eastAsia="宋体" w:cs="宋体"/>
                <w:color w:val="000000"/>
                <w:szCs w:val="21"/>
                <w:highlight w:val="none"/>
              </w:rPr>
            </w:pPr>
          </w:p>
        </w:tc>
        <w:tc>
          <w:tcPr>
            <w:tcW w:w="612" w:type="pct"/>
            <w:vMerge w:val="continue"/>
            <w:tcBorders>
              <w:top w:val="single" w:color="auto" w:sz="4" w:space="0"/>
              <w:left w:val="single" w:color="auto" w:sz="4" w:space="0"/>
              <w:bottom w:val="single" w:color="auto" w:sz="4" w:space="0"/>
              <w:right w:val="single" w:color="auto" w:sz="4" w:space="0"/>
            </w:tcBorders>
            <w:vAlign w:val="center"/>
          </w:tcPr>
          <w:p w14:paraId="28B7CD5D">
            <w:pPr>
              <w:rPr>
                <w:rFonts w:hint="eastAsia" w:ascii="宋体" w:hAnsi="宋体" w:eastAsia="宋体" w:cs="宋体"/>
                <w:color w:val="000000"/>
                <w:szCs w:val="21"/>
                <w:highlight w:val="none"/>
              </w:rPr>
            </w:pPr>
          </w:p>
        </w:tc>
        <w:tc>
          <w:tcPr>
            <w:tcW w:w="697" w:type="pct"/>
            <w:vMerge w:val="continue"/>
            <w:tcBorders>
              <w:top w:val="single" w:color="auto" w:sz="4" w:space="0"/>
              <w:left w:val="single" w:color="auto" w:sz="4" w:space="0"/>
              <w:bottom w:val="single" w:color="000000" w:sz="4" w:space="0"/>
              <w:right w:val="single" w:color="auto" w:sz="4" w:space="0"/>
            </w:tcBorders>
            <w:vAlign w:val="center"/>
          </w:tcPr>
          <w:p w14:paraId="51D7B933">
            <w:pPr>
              <w:rPr>
                <w:rFonts w:hint="eastAsia" w:ascii="宋体" w:hAnsi="宋体" w:eastAsia="宋体" w:cs="宋体"/>
                <w:color w:val="000000"/>
                <w:szCs w:val="21"/>
                <w:highlight w:val="none"/>
              </w:rPr>
            </w:pPr>
          </w:p>
        </w:tc>
      </w:tr>
      <w:tr w14:paraId="2A522227">
        <w:tblPrEx>
          <w:tblCellMar>
            <w:top w:w="0" w:type="dxa"/>
            <w:left w:w="108" w:type="dxa"/>
            <w:bottom w:w="0" w:type="dxa"/>
            <w:right w:w="108" w:type="dxa"/>
          </w:tblCellMar>
        </w:tblPrEx>
        <w:trPr>
          <w:trHeight w:val="2147" w:hRule="atLeast"/>
        </w:trPr>
        <w:tc>
          <w:tcPr>
            <w:tcW w:w="733" w:type="pct"/>
            <w:tcBorders>
              <w:top w:val="nil"/>
              <w:left w:val="single" w:color="auto" w:sz="4" w:space="0"/>
              <w:bottom w:val="single" w:color="auto" w:sz="4" w:space="0"/>
              <w:right w:val="single" w:color="auto" w:sz="4" w:space="0"/>
            </w:tcBorders>
            <w:shd w:val="clear" w:color="auto" w:fill="auto"/>
            <w:vAlign w:val="center"/>
          </w:tcPr>
          <w:p w14:paraId="36412B3D">
            <w:pPr>
              <w:jc w:val="center"/>
              <w:rPr>
                <w:rFonts w:hint="eastAsia" w:ascii="宋体" w:hAnsi="宋体" w:eastAsia="宋体" w:cs="宋体"/>
                <w:color w:val="000000"/>
                <w:szCs w:val="21"/>
                <w:highlight w:val="none"/>
                <w:lang w:val="en-US" w:eastAsia="zh-CN"/>
              </w:rPr>
            </w:pPr>
            <w:r>
              <w:rPr>
                <w:rFonts w:hint="eastAsia" w:eastAsia="宋体"/>
                <w:lang w:val="en-US" w:eastAsia="zh-CN"/>
              </w:rPr>
              <w:t>无损激光划片机</w:t>
            </w:r>
          </w:p>
        </w:tc>
        <w:tc>
          <w:tcPr>
            <w:tcW w:w="384" w:type="pct"/>
            <w:tcBorders>
              <w:top w:val="nil"/>
              <w:left w:val="nil"/>
              <w:bottom w:val="single" w:color="auto" w:sz="4" w:space="0"/>
              <w:right w:val="single" w:color="auto" w:sz="4" w:space="0"/>
            </w:tcBorders>
            <w:shd w:val="clear" w:color="auto" w:fill="auto"/>
            <w:vAlign w:val="center"/>
          </w:tcPr>
          <w:p w14:paraId="346FC753">
            <w:pPr>
              <w:jc w:val="center"/>
              <w:rPr>
                <w:rFonts w:hint="default" w:ascii="宋体" w:hAnsi="宋体" w:eastAsia="宋体" w:cs="宋体"/>
                <w:color w:val="000000"/>
                <w:szCs w:val="21"/>
                <w:highlight w:val="none"/>
                <w:lang w:val="en-US" w:eastAsia="zh-CN"/>
              </w:rPr>
            </w:pPr>
          </w:p>
        </w:tc>
        <w:tc>
          <w:tcPr>
            <w:tcW w:w="405" w:type="pct"/>
            <w:tcBorders>
              <w:top w:val="nil"/>
              <w:left w:val="nil"/>
              <w:bottom w:val="single" w:color="auto" w:sz="4" w:space="0"/>
              <w:right w:val="single" w:color="auto" w:sz="4" w:space="0"/>
            </w:tcBorders>
            <w:shd w:val="clear" w:color="auto" w:fill="auto"/>
            <w:vAlign w:val="center"/>
          </w:tcPr>
          <w:p w14:paraId="1CBC552A">
            <w:pPr>
              <w:jc w:val="center"/>
              <w:rPr>
                <w:rFonts w:hint="eastAsia" w:ascii="宋体" w:hAnsi="宋体" w:eastAsia="宋体" w:cs="宋体"/>
                <w:color w:val="000000"/>
                <w:szCs w:val="21"/>
                <w:highlight w:val="none"/>
              </w:rPr>
            </w:pPr>
          </w:p>
        </w:tc>
        <w:tc>
          <w:tcPr>
            <w:tcW w:w="408" w:type="pct"/>
            <w:tcBorders>
              <w:top w:val="nil"/>
              <w:left w:val="nil"/>
              <w:bottom w:val="single" w:color="auto" w:sz="4" w:space="0"/>
              <w:right w:val="single" w:color="auto" w:sz="4" w:space="0"/>
            </w:tcBorders>
            <w:shd w:val="clear" w:color="auto" w:fill="auto"/>
            <w:vAlign w:val="center"/>
          </w:tcPr>
          <w:p w14:paraId="7B6CF573">
            <w:pPr>
              <w:jc w:val="center"/>
              <w:rPr>
                <w:rFonts w:hint="eastAsia" w:ascii="宋体" w:hAnsi="宋体" w:eastAsia="宋体" w:cs="宋体"/>
                <w:color w:val="000000"/>
                <w:szCs w:val="21"/>
                <w:highlight w:val="none"/>
              </w:rPr>
            </w:pPr>
          </w:p>
        </w:tc>
        <w:tc>
          <w:tcPr>
            <w:tcW w:w="413" w:type="pct"/>
            <w:tcBorders>
              <w:top w:val="nil"/>
              <w:left w:val="nil"/>
              <w:bottom w:val="single" w:color="auto" w:sz="4" w:space="0"/>
              <w:right w:val="single" w:color="auto" w:sz="4" w:space="0"/>
            </w:tcBorders>
            <w:shd w:val="clear" w:color="auto" w:fill="auto"/>
            <w:vAlign w:val="center"/>
          </w:tcPr>
          <w:p w14:paraId="6518F656">
            <w:pPr>
              <w:jc w:val="center"/>
              <w:rPr>
                <w:rFonts w:hint="eastAsia" w:ascii="宋体" w:hAnsi="宋体" w:eastAsia="宋体" w:cs="宋体"/>
                <w:color w:val="000000"/>
                <w:szCs w:val="21"/>
                <w:highlight w:val="none"/>
              </w:rPr>
            </w:pPr>
          </w:p>
        </w:tc>
        <w:tc>
          <w:tcPr>
            <w:tcW w:w="408" w:type="pct"/>
            <w:tcBorders>
              <w:top w:val="nil"/>
              <w:left w:val="nil"/>
              <w:bottom w:val="single" w:color="auto" w:sz="4" w:space="0"/>
              <w:right w:val="single" w:color="auto" w:sz="4" w:space="0"/>
            </w:tcBorders>
            <w:shd w:val="clear" w:color="auto" w:fill="auto"/>
            <w:vAlign w:val="center"/>
          </w:tcPr>
          <w:p w14:paraId="4E5822C8">
            <w:pPr>
              <w:jc w:val="center"/>
              <w:rPr>
                <w:rFonts w:hint="eastAsia" w:ascii="宋体" w:hAnsi="宋体" w:eastAsia="宋体" w:cs="宋体"/>
                <w:color w:val="000000"/>
                <w:szCs w:val="21"/>
                <w:highlight w:val="none"/>
              </w:rPr>
            </w:pPr>
          </w:p>
        </w:tc>
        <w:tc>
          <w:tcPr>
            <w:tcW w:w="408" w:type="pct"/>
            <w:tcBorders>
              <w:top w:val="nil"/>
              <w:left w:val="nil"/>
              <w:bottom w:val="single" w:color="auto" w:sz="4" w:space="0"/>
              <w:right w:val="single" w:color="auto" w:sz="4" w:space="0"/>
            </w:tcBorders>
            <w:shd w:val="clear" w:color="auto" w:fill="auto"/>
            <w:vAlign w:val="center"/>
          </w:tcPr>
          <w:p w14:paraId="6D5B60F3">
            <w:pPr>
              <w:jc w:val="center"/>
              <w:rPr>
                <w:rFonts w:hint="eastAsia" w:ascii="宋体" w:hAnsi="宋体" w:eastAsia="宋体" w:cs="宋体"/>
                <w:color w:val="000000"/>
                <w:szCs w:val="21"/>
                <w:highlight w:val="none"/>
              </w:rPr>
            </w:pPr>
          </w:p>
        </w:tc>
        <w:tc>
          <w:tcPr>
            <w:tcW w:w="529" w:type="pct"/>
            <w:tcBorders>
              <w:top w:val="nil"/>
              <w:left w:val="nil"/>
              <w:bottom w:val="single" w:color="auto" w:sz="4" w:space="0"/>
              <w:right w:val="single" w:color="auto" w:sz="4" w:space="0"/>
            </w:tcBorders>
            <w:shd w:val="clear" w:color="auto" w:fill="auto"/>
            <w:vAlign w:val="center"/>
          </w:tcPr>
          <w:p w14:paraId="734D4263">
            <w:pPr>
              <w:jc w:val="center"/>
              <w:rPr>
                <w:rFonts w:hint="eastAsia" w:ascii="宋体" w:hAnsi="宋体" w:eastAsia="宋体" w:cs="宋体"/>
                <w:color w:val="000000"/>
                <w:szCs w:val="21"/>
                <w:highlight w:val="none"/>
              </w:rPr>
            </w:pPr>
          </w:p>
        </w:tc>
        <w:tc>
          <w:tcPr>
            <w:tcW w:w="612" w:type="pct"/>
            <w:tcBorders>
              <w:top w:val="nil"/>
              <w:left w:val="nil"/>
              <w:bottom w:val="single" w:color="auto" w:sz="4" w:space="0"/>
              <w:right w:val="single" w:color="auto" w:sz="4" w:space="0"/>
            </w:tcBorders>
            <w:shd w:val="clear" w:color="auto" w:fill="auto"/>
            <w:vAlign w:val="center"/>
          </w:tcPr>
          <w:p w14:paraId="1FC1E861">
            <w:pPr>
              <w:jc w:val="center"/>
              <w:rPr>
                <w:rFonts w:hint="eastAsia" w:ascii="宋体" w:hAnsi="宋体" w:eastAsia="宋体" w:cs="宋体"/>
                <w:color w:val="000000"/>
                <w:szCs w:val="21"/>
                <w:highlight w:val="none"/>
              </w:rPr>
            </w:pPr>
          </w:p>
        </w:tc>
        <w:tc>
          <w:tcPr>
            <w:tcW w:w="697" w:type="pct"/>
            <w:tcBorders>
              <w:top w:val="nil"/>
              <w:left w:val="single" w:color="auto" w:sz="4" w:space="0"/>
              <w:bottom w:val="single" w:color="auto" w:sz="4" w:space="0"/>
              <w:right w:val="single" w:color="auto" w:sz="4" w:space="0"/>
            </w:tcBorders>
            <w:shd w:val="clear" w:color="auto" w:fill="auto"/>
            <w:vAlign w:val="center"/>
          </w:tcPr>
          <w:p w14:paraId="18A10F4F">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国内</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rPr>
              <w:t>%增值税专票，</w:t>
            </w:r>
            <w:r>
              <w:rPr>
                <w:rFonts w:hint="eastAsia" w:ascii="宋体" w:hAnsi="宋体" w:eastAsia="宋体" w:cs="宋体"/>
                <w:color w:val="000000"/>
                <w:szCs w:val="21"/>
                <w:highlight w:val="none"/>
                <w:lang w:val="en-US" w:eastAsia="zh-CN"/>
              </w:rPr>
              <w:t>先票后款</w:t>
            </w:r>
          </w:p>
        </w:tc>
      </w:tr>
    </w:tbl>
    <w:p w14:paraId="36FE9ABD">
      <w:pPr>
        <w:pStyle w:val="29"/>
        <w:ind w:firstLine="0" w:firstLineChars="0"/>
        <w:rPr>
          <w:rFonts w:hint="eastAsia" w:ascii="宋体" w:hAnsi="宋体" w:eastAsia="宋体" w:cs="宋体"/>
          <w:highlight w:val="none"/>
        </w:rPr>
      </w:pPr>
    </w:p>
    <w:p w14:paraId="0C0974EC">
      <w:pPr>
        <w:pStyle w:val="29"/>
        <w:ind w:firstLine="0" w:firstLineChars="0"/>
        <w:rPr>
          <w:rFonts w:hint="eastAsia" w:ascii="宋体" w:hAnsi="宋体" w:eastAsia="宋体" w:cs="宋体"/>
          <w:highlight w:val="none"/>
        </w:rPr>
      </w:pPr>
      <w:r>
        <w:rPr>
          <w:rFonts w:hint="eastAsia" w:ascii="宋体" w:hAnsi="宋体" w:eastAsia="宋体" w:cs="宋体"/>
          <w:highlight w:val="none"/>
        </w:rPr>
        <w:t>注：1）此表可根据竞标意向选填或修改内容。</w:t>
      </w:r>
    </w:p>
    <w:p w14:paraId="3BDD5821">
      <w:pPr>
        <w:pStyle w:val="29"/>
        <w:ind w:firstLine="420"/>
        <w:rPr>
          <w:rFonts w:hint="eastAsia" w:ascii="宋体" w:hAnsi="宋体" w:eastAsia="宋体" w:cs="宋体"/>
          <w:highlight w:val="none"/>
        </w:rPr>
      </w:pPr>
      <w:r>
        <w:rPr>
          <w:rFonts w:hint="eastAsia" w:ascii="宋体" w:hAnsi="宋体" w:eastAsia="宋体" w:cs="宋体"/>
          <w:highlight w:val="none"/>
        </w:rPr>
        <w:t>2）此表必须单独密封，以方便开标。</w:t>
      </w:r>
    </w:p>
    <w:p w14:paraId="3751373D">
      <w:pPr>
        <w:pStyle w:val="29"/>
        <w:ind w:firstLine="420"/>
        <w:rPr>
          <w:rFonts w:hint="eastAsia" w:ascii="宋体" w:hAnsi="宋体" w:eastAsia="宋体" w:cs="宋体"/>
          <w:highlight w:val="none"/>
        </w:rPr>
      </w:pPr>
      <w:r>
        <w:rPr>
          <w:rFonts w:hint="eastAsia" w:ascii="宋体" w:hAnsi="宋体" w:eastAsia="宋体" w:cs="宋体"/>
          <w:highlight w:val="none"/>
        </w:rPr>
        <w:t>3）报价单后附</w:t>
      </w:r>
      <w:r>
        <w:rPr>
          <w:rFonts w:hint="eastAsia" w:ascii="宋体" w:hAnsi="宋体" w:cs="宋体"/>
          <w:highlight w:val="none"/>
          <w:lang w:val="en-US" w:eastAsia="zh-CN"/>
        </w:rPr>
        <w:t>清单（如需）</w:t>
      </w:r>
      <w:r>
        <w:rPr>
          <w:rFonts w:hint="eastAsia" w:ascii="宋体" w:hAnsi="宋体" w:eastAsia="宋体" w:cs="宋体"/>
          <w:highlight w:val="none"/>
        </w:rPr>
        <w:t>。</w:t>
      </w:r>
    </w:p>
    <w:p w14:paraId="05F44103">
      <w:pPr>
        <w:pStyle w:val="29"/>
        <w:ind w:firstLine="420"/>
        <w:rPr>
          <w:rFonts w:hint="eastAsia" w:ascii="宋体" w:hAnsi="宋体" w:eastAsia="宋体" w:cs="宋体"/>
          <w:highlight w:val="none"/>
        </w:rPr>
      </w:pPr>
      <w:r>
        <w:rPr>
          <w:rFonts w:hint="eastAsia" w:ascii="宋体" w:hAnsi="宋体" w:eastAsia="宋体" w:cs="宋体"/>
          <w:highlight w:val="none"/>
        </w:rPr>
        <w:t>4）开标一览表一正</w:t>
      </w:r>
      <w:r>
        <w:rPr>
          <w:rFonts w:hint="eastAsia" w:ascii="宋体" w:hAnsi="宋体" w:cs="宋体"/>
          <w:highlight w:val="none"/>
          <w:lang w:val="en-US" w:eastAsia="zh-CN"/>
        </w:rPr>
        <w:t>五</w:t>
      </w:r>
      <w:r>
        <w:rPr>
          <w:rFonts w:hint="eastAsia" w:ascii="宋体" w:hAnsi="宋体" w:eastAsia="宋体" w:cs="宋体"/>
          <w:highlight w:val="none"/>
        </w:rPr>
        <w:t>副。</w:t>
      </w:r>
      <w:bookmarkStart w:id="53" w:name="_GoBack"/>
      <w:bookmarkEnd w:id="53"/>
    </w:p>
    <w:p w14:paraId="6405CBC0">
      <w:pPr>
        <w:pStyle w:val="29"/>
        <w:ind w:firstLine="420"/>
        <w:rPr>
          <w:rFonts w:hint="eastAsia" w:ascii="宋体" w:hAnsi="宋体" w:eastAsia="宋体" w:cs="宋体"/>
          <w:highlight w:val="none"/>
        </w:rPr>
      </w:pPr>
    </w:p>
    <w:p w14:paraId="308F2107">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竞标单位授权代表（签字或盖章）:</w:t>
      </w:r>
    </w:p>
    <w:p w14:paraId="6F9D7FDE">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竞标单位（加盖公章）:</w:t>
      </w:r>
    </w:p>
    <w:p w14:paraId="0F89128A">
      <w:pPr>
        <w:pStyle w:val="29"/>
        <w:ind w:firstLine="5040" w:firstLineChars="24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0C6E4509">
      <w:pPr>
        <w:rPr>
          <w:rFonts w:hint="eastAsia" w:ascii="宋体" w:hAnsi="宋体" w:eastAsia="宋体" w:cs="宋体"/>
          <w:highlight w:val="none"/>
        </w:rPr>
      </w:pPr>
      <w:r>
        <w:rPr>
          <w:rFonts w:hint="eastAsia" w:ascii="宋体" w:hAnsi="宋体" w:eastAsia="宋体" w:cs="宋体"/>
          <w:highlight w:val="none"/>
        </w:rPr>
        <w:br w:type="page"/>
      </w:r>
    </w:p>
    <w:p w14:paraId="7CB21CF5">
      <w:pPr>
        <w:pStyle w:val="30"/>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附件6</w:t>
      </w:r>
    </w:p>
    <w:p w14:paraId="5FA5164F">
      <w:pPr>
        <w:pStyle w:val="29"/>
        <w:ind w:firstLine="3570" w:firstLineChars="1700"/>
        <w:jc w:val="both"/>
        <w:outlineLvl w:val="1"/>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"目录" </w:instrText>
      </w:r>
      <w:r>
        <w:rPr>
          <w:rFonts w:hint="eastAsia" w:ascii="宋体" w:hAnsi="宋体" w:eastAsia="宋体" w:cs="宋体"/>
          <w:highlight w:val="none"/>
        </w:rPr>
        <w:fldChar w:fldCharType="separate"/>
      </w:r>
      <w:bookmarkStart w:id="43" w:name="_Toc115424835"/>
      <w:bookmarkStart w:id="44" w:name="_Toc115362809"/>
      <w:bookmarkStart w:id="45" w:name="_Toc115362590"/>
      <w:bookmarkStart w:id="46" w:name="_Toc115362493"/>
      <w:r>
        <w:rPr>
          <w:rStyle w:val="23"/>
          <w:rFonts w:hint="eastAsia" w:ascii="宋体" w:hAnsi="宋体" w:eastAsia="宋体" w:cs="宋体"/>
          <w:color w:val="000000" w:themeColor="text1"/>
          <w:highlight w:val="none"/>
          <w14:textFill>
            <w14:solidFill>
              <w14:schemeClr w14:val="tx1"/>
            </w14:solidFill>
          </w14:textFill>
        </w:rPr>
        <w:t>诚信合作与公平竞争</w:t>
      </w:r>
      <w:r>
        <w:rPr>
          <w:rStyle w:val="23"/>
          <w:rFonts w:hint="eastAsia" w:ascii="宋体" w:hAnsi="宋体" w:cs="宋体"/>
          <w:color w:val="000000" w:themeColor="text1"/>
          <w:highlight w:val="none"/>
          <w:lang w:val="en-US" w:eastAsia="zh-CN"/>
          <w14:textFill>
            <w14:solidFill>
              <w14:schemeClr w14:val="tx1"/>
            </w14:solidFill>
          </w14:textFill>
        </w:rPr>
        <w:t>承诺书</w:t>
      </w:r>
      <w:bookmarkEnd w:id="43"/>
      <w:bookmarkEnd w:id="44"/>
      <w:bookmarkEnd w:id="45"/>
      <w:bookmarkEnd w:id="46"/>
      <w:r>
        <w:rPr>
          <w:rStyle w:val="23"/>
          <w:rFonts w:hint="eastAsia" w:ascii="宋体" w:hAnsi="宋体" w:eastAsia="宋体" w:cs="宋体"/>
          <w:color w:val="000000" w:themeColor="text1"/>
          <w:highlight w:val="none"/>
          <w14:textFill>
            <w14:solidFill>
              <w14:schemeClr w14:val="tx1"/>
            </w14:solidFill>
          </w14:textFill>
        </w:rPr>
        <w:fldChar w:fldCharType="end"/>
      </w:r>
    </w:p>
    <w:p w14:paraId="6010F1D8">
      <w:pPr>
        <w:pStyle w:val="29"/>
        <w:ind w:firstLine="0" w:firstLineChars="0"/>
        <w:rPr>
          <w:rFonts w:hint="eastAsia" w:ascii="宋体" w:hAnsi="宋体" w:eastAsia="宋体" w:cs="宋体"/>
          <w:highlight w:val="none"/>
        </w:rPr>
      </w:pPr>
      <w:r>
        <w:rPr>
          <w:rFonts w:hint="eastAsia" w:ascii="宋体" w:hAnsi="宋体" w:eastAsia="宋体" w:cs="宋体"/>
          <w:highlight w:val="none"/>
        </w:rPr>
        <w:t>招标方：</w:t>
      </w:r>
      <w:r>
        <w:rPr>
          <w:rFonts w:hint="eastAsia" w:ascii="宋体" w:hAnsi="宋体" w:eastAsia="宋体" w:cs="宋体"/>
          <w:highlight w:val="none"/>
          <w:lang w:eastAsia="zh-CN"/>
        </w:rPr>
        <w:t>眉山琏升光伏科技有限公司</w:t>
      </w:r>
      <w:r>
        <w:rPr>
          <w:rFonts w:hint="eastAsia" w:ascii="宋体" w:hAnsi="宋体" w:eastAsia="宋体" w:cs="宋体"/>
          <w:highlight w:val="none"/>
        </w:rPr>
        <w:t>：</w:t>
      </w:r>
    </w:p>
    <w:p w14:paraId="7407D320">
      <w:pPr>
        <w:pStyle w:val="29"/>
        <w:spacing w:line="336" w:lineRule="auto"/>
        <w:ind w:firstLine="0" w:firstLineChars="0"/>
        <w:rPr>
          <w:rFonts w:hint="eastAsia" w:ascii="宋体" w:hAnsi="宋体" w:eastAsia="宋体" w:cs="宋体"/>
          <w:highlight w:val="none"/>
        </w:rPr>
      </w:pPr>
      <w:r>
        <w:rPr>
          <w:rFonts w:hint="eastAsia" w:ascii="宋体" w:hAnsi="宋体" w:eastAsia="宋体" w:cs="宋体"/>
          <w:highlight w:val="none"/>
        </w:rPr>
        <w:t>竞标方：</w:t>
      </w:r>
    </w:p>
    <w:p w14:paraId="59FFB610">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 xml:space="preserve">为共同创造诚实守信、廉洁自律的合作环境，杜绝和抵制各种商业腐败及有违公平竞争行为发生，经双方友好协商，达成本协议内容，以昭信守。 </w:t>
      </w:r>
    </w:p>
    <w:p w14:paraId="210C629C">
      <w:pPr>
        <w:pStyle w:val="29"/>
        <w:numPr>
          <w:ilvl w:val="0"/>
          <w:numId w:val="8"/>
        </w:numPr>
        <w:spacing w:line="336" w:lineRule="auto"/>
        <w:ind w:firstLine="420"/>
        <w:rPr>
          <w:rFonts w:hint="eastAsia" w:ascii="宋体" w:hAnsi="宋体" w:eastAsia="宋体" w:cs="宋体"/>
          <w:highlight w:val="none"/>
        </w:rPr>
      </w:pPr>
      <w:r>
        <w:rPr>
          <w:rFonts w:hint="eastAsia" w:ascii="宋体" w:hAnsi="宋体" w:eastAsia="宋体" w:cs="宋体"/>
          <w:highlight w:val="none"/>
        </w:rPr>
        <w:t>竞标方承诺不与招标方工作人员或其亲属进行任何可能影响廉洁自律、公平竞争的行为，包括但不限于：1、向招标方工作人员或其亲属行贿或提供其他不正当利益（包括回扣、手续费、礼金、礼品、宴请、旅游、娱乐消费等）；2、让招标方工作人员或其亲属在竞标方报销或代其支付各种费用；3、让招标方工作人员或其亲属在竞标方借款；4、与招标方工作人员或其亲属合伙经商；5、为招标方工作人员或其亲属办理私事；6、其他可能影响廉洁自律、公平竞争的行为。如招标方工作人员或其亲属对竞标方提出以上要求或存在上述行为的，竞标方保证立即向</w:t>
      </w:r>
      <w:r>
        <w:rPr>
          <w:rFonts w:hint="eastAsia" w:ascii="宋体" w:hAnsi="宋体" w:eastAsia="宋体" w:cs="宋体"/>
          <w:highlight w:val="none"/>
          <w:lang w:val="en-US" w:eastAsia="zh-CN"/>
        </w:rPr>
        <w:t>招标方相关部门举报，举报邮箱：举报邮箱：</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"mailto:CS@leascend.com或ComplianceSupervision@leascend.com。" </w:instrText>
      </w:r>
      <w:r>
        <w:rPr>
          <w:rFonts w:hint="eastAsia" w:ascii="宋体" w:hAnsi="宋体" w:cs="宋体"/>
          <w:color w:val="auto"/>
          <w:highlight w:val="none"/>
        </w:rPr>
        <w:fldChar w:fldCharType="separate"/>
      </w:r>
      <w:r>
        <w:rPr>
          <w:rStyle w:val="23"/>
          <w:rFonts w:hint="eastAsia" w:ascii="宋体" w:hAnsi="宋体" w:cs="宋体"/>
          <w:color w:val="auto"/>
          <w:highlight w:val="none"/>
        </w:rPr>
        <w:t>CS@leascend.com或ComplianceSupervision@leascend.com。</w:t>
      </w:r>
      <w:r>
        <w:rPr>
          <w:rFonts w:hint="eastAsia" w:ascii="宋体" w:hAnsi="宋体" w:cs="宋体"/>
          <w:color w:val="auto"/>
          <w:highlight w:val="none"/>
        </w:rPr>
        <w:fldChar w:fldCharType="end"/>
      </w:r>
    </w:p>
    <w:p w14:paraId="051690A4">
      <w:pPr>
        <w:pStyle w:val="29"/>
        <w:numPr>
          <w:ilvl w:val="0"/>
          <w:numId w:val="8"/>
        </w:numPr>
        <w:spacing w:line="336" w:lineRule="auto"/>
        <w:ind w:firstLine="420"/>
        <w:rPr>
          <w:rFonts w:hint="eastAsia" w:ascii="宋体" w:hAnsi="宋体" w:eastAsia="宋体" w:cs="宋体"/>
          <w:highlight w:val="none"/>
        </w:rPr>
      </w:pPr>
      <w:r>
        <w:rPr>
          <w:rFonts w:hint="eastAsia" w:ascii="宋体" w:hAnsi="宋体" w:eastAsia="宋体" w:cs="宋体"/>
          <w:highlight w:val="none"/>
        </w:rPr>
        <w:t xml:space="preserve"> 竞标方承诺不与</w:t>
      </w:r>
      <w:r>
        <w:rPr>
          <w:rFonts w:hint="eastAsia" w:ascii="宋体" w:hAnsi="宋体" w:eastAsia="宋体" w:cs="宋体"/>
          <w:highlight w:val="none"/>
          <w:lang w:val="en-US" w:eastAsia="zh-CN"/>
        </w:rPr>
        <w:t>眉山琏升</w:t>
      </w:r>
      <w:r>
        <w:rPr>
          <w:rFonts w:hint="eastAsia" w:ascii="宋体" w:hAnsi="宋体" w:eastAsia="宋体" w:cs="宋体"/>
          <w:highlight w:val="none"/>
        </w:rPr>
        <w:t>及其关联公司、下属机构现任、开除、辞退、辞职的人员直接或间接发生任何经济往来，或与以上人员合伙经商。如发现此类情况，竞标方保证立即告知招标方。</w:t>
      </w:r>
    </w:p>
    <w:p w14:paraId="496A2286">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第三条 竞标方一切人员进入招标方管理区域保证自觉遵守招标方的各项规章制度，包括但不限于：1、不在招标方管理区域内吸烟、喝酒、乱扔杂物等；2、不做任何损害或可能损害招标方合法利益的事情，自觉维护招标方的生产、经营活动有序进行；3、在与招标方合作过程中，如因竞标方原因在招标方管理区域内发生安全、环保等事故的，由竞标方自行承担责任，给招标方造成经济损失的，竞标方承担相应的赔偿责任；4、服从招标方的安排和管理。</w:t>
      </w:r>
    </w:p>
    <w:p w14:paraId="70FF71AA">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第四条 参与招标方项目竞标或其他各种形式合作时，竞标方承诺不发生以下行为：提供虚假材料谋取中标、成交；采取不正当手段诋毁、排挤其他竞标人；串通竞标；提供假冒、伪劣、掺杂掺假产品；提供虚假发票或不合规发票、虚开增值税专用发票及其他违反税法等相关法律法规之行为；拒绝接受调查或者提供虚假情况；将从招标方获取的任何信息泄露给他人或用于其他用途等。</w:t>
      </w:r>
    </w:p>
    <w:p w14:paraId="6EC7500A">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第五条 竞标方承诺具备与招标方签订和履行合同的合法主体资格或经营资质，签订合同时已获得必需的授权或批准，签订和履行合同未侵犯他人合法权益（如所有权、著作权、商标权、专利权等），合同履行标的或内容合法，不存在违反法律法规情形。竞标方保证亲自、独立履行与招标方合同中的全部权利义务，不会将任何权利义务转让、转包或分包给第三人。</w:t>
      </w:r>
    </w:p>
    <w:p w14:paraId="33659BE4">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第六条 竞标方承诺严格遵守《劳动合同法》《劳动法》《社会保险法》等法律法规，依法与竞标方员工、雇佣人员或其他作业人员签订书面劳动合同、办理社会保险手续、及时足额发放劳动报酬等</w:t>
      </w:r>
      <w:r>
        <w:rPr>
          <w:rFonts w:hint="eastAsia" w:ascii="宋体" w:hAnsi="宋体" w:eastAsia="宋体" w:cs="宋体"/>
          <w:highlight w:val="none"/>
          <w:lang w:eastAsia="zh-CN"/>
        </w:rPr>
        <w:t>。</w:t>
      </w:r>
      <w:r>
        <w:rPr>
          <w:rFonts w:hint="eastAsia" w:ascii="宋体" w:hAnsi="宋体" w:eastAsia="宋体" w:cs="宋体"/>
          <w:highlight w:val="none"/>
        </w:rPr>
        <w:t>如发生上述人员到招标方寻衅滋事，或者到有关部门上访投诉，或者向招标方索要劳动报酬，或者发生其他影响招标方正常生产经营秩序事件的，竞标方保证在事件发生后24小时内或招标方限定期限内派人到场并协调处理完毕，且竞标方承诺：自行负责积极、主动处理相关争议并承担相关费用；若事件紧急或政府相关部门要求等情形，招标方有权自行决定暂代竞标方予以妥善处理，竞标方认可招标方为解决上述事件而与相关人员达成的任何书面文件（如协议书、承诺书等）的效力及内容；该等文件项下相关费用及成本等,竞标方同意招标方从应付竞标方的各项应付款中直接扣除，无应付款予以抵扣的，竞标方应自招标方通知之日起5日内向招标方足额支付。</w:t>
      </w:r>
    </w:p>
    <w:p w14:paraId="644C2C35">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第七条 竞标方承诺严格遵守《环境保护法》及其他环境保护政策与法规，并提高社会风险管理，保证在履行与招标方的合同过程中不造成环境污染事件，也不存在环境污染因素或隐患。否则，竞标方同意承担由此给招标方造成的全部损失与责任，包括但不限于罚款、停业损失、整改费用等。</w:t>
      </w:r>
    </w:p>
    <w:p w14:paraId="1C145F40">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第八条 如竞标方违反本协议的任何约定或承诺即构成违约，竞标方同意按双方签订的业务合同总金额（或竞标方竞标报价总金额）的10%向招标方支付违约金（业务合同另有条款规定的，取其高者执行）。同时竞标方自愿接受招标方如下处理（包括但不限于）：取消竞标方中标资格；没收竞标保证金或履约保证金；解除或终止双方业务合同；对尚未支付竞标方的款项，招标方有权不予支付；赔偿招标方全部经济损失；涉嫌构成犯罪的，移送司法机关追究刑事责任。</w:t>
      </w:r>
    </w:p>
    <w:p w14:paraId="3EFBB8E5">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第九条 本协议内容系竞标方真实意思表示并自愿作出承诺，与双方签订的业务合同同具法律约束力。除本协议有明确约定外，业务合同与本协议约定不一致的，以业务合同的约定为准。</w:t>
      </w:r>
    </w:p>
    <w:p w14:paraId="1C9335A5">
      <w:pPr>
        <w:pStyle w:val="29"/>
        <w:spacing w:line="336" w:lineRule="auto"/>
        <w:ind w:firstLine="420"/>
        <w:rPr>
          <w:rFonts w:hint="eastAsia" w:ascii="宋体" w:hAnsi="宋体" w:eastAsia="宋体" w:cs="宋体"/>
          <w:highlight w:val="none"/>
        </w:rPr>
      </w:pPr>
    </w:p>
    <w:p w14:paraId="29789841">
      <w:pPr>
        <w:pStyle w:val="29"/>
        <w:spacing w:line="336" w:lineRule="auto"/>
        <w:ind w:firstLine="420"/>
        <w:rPr>
          <w:rFonts w:hint="eastAsia" w:ascii="宋体" w:hAnsi="宋体" w:eastAsia="宋体" w:cs="宋体"/>
          <w:highlight w:val="none"/>
        </w:rPr>
      </w:pPr>
    </w:p>
    <w:p w14:paraId="55087767">
      <w:pPr>
        <w:pStyle w:val="29"/>
        <w:spacing w:line="336" w:lineRule="auto"/>
        <w:ind w:firstLine="5040" w:firstLineChars="2400"/>
        <w:rPr>
          <w:rFonts w:hint="eastAsia" w:ascii="宋体" w:hAnsi="宋体" w:eastAsia="宋体" w:cs="宋体"/>
          <w:highlight w:val="none"/>
        </w:rPr>
      </w:pPr>
      <w:r>
        <w:rPr>
          <w:rFonts w:hint="eastAsia" w:ascii="宋体" w:hAnsi="宋体" w:eastAsia="宋体" w:cs="宋体"/>
          <w:highlight w:val="none"/>
        </w:rPr>
        <w:t>竞标方（签章）：</w:t>
      </w:r>
    </w:p>
    <w:p w14:paraId="6A33310B">
      <w:pPr>
        <w:pStyle w:val="29"/>
        <w:spacing w:line="336" w:lineRule="auto"/>
        <w:ind w:firstLine="5040" w:firstLineChars="2400"/>
        <w:rPr>
          <w:rFonts w:hint="eastAsia" w:ascii="宋体" w:hAnsi="宋体" w:eastAsia="宋体" w:cs="宋体"/>
          <w:highlight w:val="none"/>
        </w:rPr>
      </w:pPr>
      <w:r>
        <w:rPr>
          <w:rFonts w:hint="eastAsia" w:ascii="宋体" w:hAnsi="宋体" w:eastAsia="宋体" w:cs="宋体"/>
          <w:highlight w:val="none"/>
          <w:lang w:val="en-US" w:eastAsia="zh-CN"/>
        </w:rPr>
        <w:t>授权</w:t>
      </w:r>
      <w:r>
        <w:rPr>
          <w:rFonts w:hint="eastAsia" w:ascii="宋体" w:hAnsi="宋体" w:eastAsia="宋体" w:cs="宋体"/>
          <w:highlight w:val="none"/>
        </w:rPr>
        <w:t>代表人</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签字）</w:t>
      </w:r>
      <w:r>
        <w:rPr>
          <w:rFonts w:hint="eastAsia" w:ascii="宋体" w:hAnsi="宋体" w:eastAsia="宋体" w:cs="宋体"/>
          <w:highlight w:val="none"/>
        </w:rPr>
        <w:t>：</w:t>
      </w:r>
    </w:p>
    <w:p w14:paraId="267DDD32">
      <w:pPr>
        <w:pStyle w:val="29"/>
        <w:spacing w:line="336" w:lineRule="auto"/>
        <w:ind w:firstLine="5040" w:firstLineChars="24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560FD146">
      <w:pPr>
        <w:rPr>
          <w:rFonts w:hint="eastAsia" w:ascii="宋体" w:hAnsi="宋体" w:eastAsia="宋体" w:cs="宋体"/>
          <w:highlight w:val="none"/>
        </w:rPr>
      </w:pPr>
      <w:r>
        <w:rPr>
          <w:rFonts w:hint="eastAsia" w:ascii="宋体" w:hAnsi="宋体" w:eastAsia="宋体" w:cs="宋体"/>
          <w:highlight w:val="none"/>
        </w:rPr>
        <w:br w:type="page"/>
      </w:r>
    </w:p>
    <w:p w14:paraId="446D51F1">
      <w:pPr>
        <w:pStyle w:val="30"/>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附件7</w:t>
      </w:r>
    </w:p>
    <w:p w14:paraId="25F7C787">
      <w:pPr>
        <w:spacing w:line="288"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lang w:eastAsia="zh-CN"/>
        </w:rPr>
        <w:t>眉山琏升光伏科技有限公司</w:t>
      </w:r>
      <w:r>
        <w:rPr>
          <w:rFonts w:hint="eastAsia" w:ascii="宋体" w:hAnsi="宋体" w:eastAsia="宋体" w:cs="宋体"/>
          <w:b/>
          <w:sz w:val="36"/>
          <w:szCs w:val="36"/>
          <w:highlight w:val="none"/>
        </w:rPr>
        <w:t xml:space="preserve"> XX项目</w:t>
      </w:r>
    </w:p>
    <w:p w14:paraId="0466F0F6">
      <w:pPr>
        <w:spacing w:line="288" w:lineRule="auto"/>
        <w:jc w:val="center"/>
        <w:rPr>
          <w:rFonts w:hint="eastAsia" w:ascii="宋体" w:hAnsi="宋体" w:eastAsia="宋体" w:cs="宋体"/>
          <w:b/>
          <w:sz w:val="36"/>
          <w:szCs w:val="36"/>
          <w:highlight w:val="none"/>
        </w:rPr>
      </w:pPr>
      <w:r>
        <w:rPr>
          <w:rFonts w:hint="eastAsia" w:ascii="宋体" w:hAnsi="宋体" w:eastAsia="宋体" w:cs="宋体"/>
          <w:b/>
          <w:bCs w:val="0"/>
          <w:sz w:val="36"/>
          <w:szCs w:val="36"/>
          <w:highlight w:val="none"/>
        </w:rPr>
        <w:t xml:space="preserve">保密协议 </w:t>
      </w:r>
    </w:p>
    <w:p w14:paraId="02846B6C">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招标人：眉山琏升光伏科技有限公司</w:t>
      </w:r>
    </w:p>
    <w:p w14:paraId="28DF8CC2">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送达地址：【</w:t>
      </w:r>
      <w:r>
        <w:rPr>
          <w:rFonts w:hint="eastAsia" w:cs="宋体"/>
          <w:color w:val="auto"/>
          <w:kern w:val="2"/>
          <w:sz w:val="21"/>
          <w:szCs w:val="22"/>
          <w:highlight w:val="none"/>
          <w:lang w:val="en-US" w:eastAsia="zh-CN"/>
        </w:rPr>
        <w:t xml:space="preserve">                  </w:t>
      </w:r>
      <w:r>
        <w:rPr>
          <w:rFonts w:hint="eastAsia" w:ascii="宋体" w:hAnsi="宋体" w:eastAsia="宋体" w:cs="宋体"/>
          <w:color w:val="auto"/>
          <w:kern w:val="2"/>
          <w:sz w:val="21"/>
          <w:szCs w:val="22"/>
          <w:highlight w:val="none"/>
          <w:lang w:val="en-US" w:eastAsia="zh-CN"/>
        </w:rPr>
        <w:t>】</w:t>
      </w:r>
    </w:p>
    <w:p w14:paraId="0DA273BC">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联系方式：【                   】</w:t>
      </w:r>
    </w:p>
    <w:p w14:paraId="636FFBC5">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rPr>
        <w:t xml:space="preserve"> </w:t>
      </w:r>
    </w:p>
    <w:p w14:paraId="279500E0">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竞标人：【                     】</w:t>
      </w:r>
    </w:p>
    <w:p w14:paraId="4632AF1D">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送达地址：【                   】</w:t>
      </w:r>
    </w:p>
    <w:p w14:paraId="328E948E">
      <w:pPr>
        <w:pStyle w:val="19"/>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联系方式：【                   】</w:t>
      </w:r>
      <w:r>
        <w:rPr>
          <w:rFonts w:hint="eastAsia" w:ascii="宋体" w:hAnsi="宋体" w:eastAsia="宋体" w:cs="宋体"/>
          <w:color w:val="auto"/>
          <w:kern w:val="2"/>
          <w:sz w:val="21"/>
          <w:szCs w:val="22"/>
          <w:highlight w:val="none"/>
        </w:rPr>
        <w:t xml:space="preserve">   </w:t>
      </w:r>
    </w:p>
    <w:p w14:paraId="4A840C2A">
      <w:pPr>
        <w:pStyle w:val="19"/>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 xml:space="preserve"> </w:t>
      </w:r>
    </w:p>
    <w:p w14:paraId="526CB42D">
      <w:pPr>
        <w:spacing w:before="120" w:beforeLines="50" w:line="360" w:lineRule="auto"/>
        <w:ind w:firstLine="420" w:firstLineChars="200"/>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val="en-US" w:eastAsia="zh-CN"/>
        </w:rPr>
        <w:t>鉴于竞标人</w:t>
      </w:r>
      <w:r>
        <w:rPr>
          <w:rFonts w:hint="eastAsia" w:ascii="宋体" w:hAnsi="宋体" w:eastAsia="宋体" w:cs="宋体"/>
          <w:color w:val="auto"/>
          <w:szCs w:val="22"/>
          <w:highlight w:val="none"/>
        </w:rPr>
        <w:t>在参加</w:t>
      </w:r>
      <w:r>
        <w:rPr>
          <w:rFonts w:hint="eastAsia" w:ascii="宋体" w:hAnsi="宋体" w:eastAsia="宋体" w:cs="宋体"/>
          <w:color w:val="auto"/>
          <w:szCs w:val="22"/>
          <w:highlight w:val="none"/>
          <w:lang w:val="en-US" w:eastAsia="zh-CN"/>
        </w:rPr>
        <w:t>招标人【       】</w:t>
      </w:r>
      <w:r>
        <w:rPr>
          <w:rFonts w:hint="eastAsia" w:ascii="宋体" w:hAnsi="宋体" w:eastAsia="宋体" w:cs="宋体"/>
          <w:color w:val="auto"/>
          <w:szCs w:val="22"/>
          <w:highlight w:val="none"/>
          <w:u w:val="none"/>
        </w:rPr>
        <w:t>项目</w:t>
      </w:r>
      <w:r>
        <w:rPr>
          <w:rFonts w:hint="eastAsia" w:ascii="宋体" w:hAnsi="宋体" w:eastAsia="宋体" w:cs="宋体"/>
          <w:color w:val="auto"/>
          <w:szCs w:val="22"/>
          <w:highlight w:val="none"/>
        </w:rPr>
        <w:t>的</w:t>
      </w:r>
      <w:r>
        <w:rPr>
          <w:rFonts w:hint="eastAsia" w:ascii="宋体" w:hAnsi="宋体" w:eastAsia="宋体" w:cs="宋体"/>
          <w:color w:val="auto"/>
          <w:szCs w:val="22"/>
          <w:highlight w:val="none"/>
          <w:lang w:val="en-US" w:eastAsia="zh-CN"/>
        </w:rPr>
        <w:t>竞标工作过程</w:t>
      </w:r>
      <w:r>
        <w:rPr>
          <w:rFonts w:hint="eastAsia" w:ascii="宋体" w:hAnsi="宋体" w:eastAsia="宋体" w:cs="宋体"/>
          <w:color w:val="auto"/>
          <w:szCs w:val="22"/>
          <w:highlight w:val="none"/>
        </w:rPr>
        <w:t>中，</w:t>
      </w:r>
      <w:r>
        <w:rPr>
          <w:rFonts w:hint="eastAsia" w:ascii="宋体" w:hAnsi="宋体" w:eastAsia="宋体" w:cs="宋体"/>
          <w:color w:val="auto"/>
          <w:szCs w:val="22"/>
          <w:highlight w:val="none"/>
          <w:lang w:eastAsia="zh-CN"/>
        </w:rPr>
        <w:t>招标人</w:t>
      </w:r>
      <w:r>
        <w:rPr>
          <w:rFonts w:hint="eastAsia" w:ascii="宋体" w:hAnsi="宋体" w:eastAsia="宋体" w:cs="宋体"/>
          <w:color w:val="auto"/>
          <w:szCs w:val="22"/>
          <w:highlight w:val="none"/>
          <w:lang w:val="en-US" w:eastAsia="zh-CN"/>
        </w:rPr>
        <w:t>将向</w:t>
      </w:r>
      <w:r>
        <w:rPr>
          <w:rFonts w:hint="eastAsia" w:ascii="宋体" w:hAnsi="宋体" w:eastAsia="宋体" w:cs="宋体"/>
          <w:color w:val="auto"/>
          <w:szCs w:val="22"/>
          <w:highlight w:val="none"/>
          <w:lang w:eastAsia="zh-CN"/>
        </w:rPr>
        <w:t>竞标人</w:t>
      </w:r>
      <w:r>
        <w:rPr>
          <w:rFonts w:hint="eastAsia" w:ascii="宋体" w:hAnsi="宋体" w:eastAsia="宋体" w:cs="宋体"/>
          <w:color w:val="auto"/>
          <w:szCs w:val="22"/>
          <w:highlight w:val="none"/>
        </w:rPr>
        <w:t>披露</w:t>
      </w:r>
      <w:r>
        <w:rPr>
          <w:rFonts w:hint="eastAsia" w:ascii="宋体" w:hAnsi="宋体" w:eastAsia="宋体" w:cs="宋体"/>
          <w:color w:val="auto"/>
          <w:szCs w:val="22"/>
          <w:highlight w:val="none"/>
          <w:lang w:val="en-US" w:eastAsia="zh-CN"/>
        </w:rPr>
        <w:t>与招标人项目相关的</w:t>
      </w:r>
      <w:r>
        <w:rPr>
          <w:rFonts w:hint="eastAsia" w:ascii="宋体" w:hAnsi="宋体" w:eastAsia="宋体" w:cs="宋体"/>
          <w:color w:val="auto"/>
          <w:szCs w:val="22"/>
          <w:highlight w:val="none"/>
        </w:rPr>
        <w:t>信息（简称“保密信息”）</w:t>
      </w:r>
      <w:r>
        <w:rPr>
          <w:rFonts w:hint="eastAsia" w:ascii="宋体" w:hAnsi="宋体" w:eastAsia="宋体" w:cs="宋体"/>
          <w:color w:val="auto"/>
          <w:szCs w:val="22"/>
          <w:highlight w:val="none"/>
          <w:lang w:eastAsia="zh-CN"/>
        </w:rPr>
        <w:t>。双方同意就保密信息的披露及</w:t>
      </w:r>
      <w:r>
        <w:rPr>
          <w:rFonts w:hint="eastAsia" w:ascii="宋体" w:hAnsi="宋体" w:eastAsia="宋体" w:cs="宋体"/>
          <w:color w:val="auto"/>
          <w:szCs w:val="22"/>
          <w:highlight w:val="none"/>
          <w:lang w:val="en-US" w:eastAsia="zh-CN"/>
        </w:rPr>
        <w:t>保密</w:t>
      </w:r>
      <w:r>
        <w:rPr>
          <w:rFonts w:hint="eastAsia" w:ascii="宋体" w:hAnsi="宋体" w:eastAsia="宋体" w:cs="宋体"/>
          <w:color w:val="auto"/>
          <w:szCs w:val="22"/>
          <w:highlight w:val="none"/>
          <w:lang w:eastAsia="zh-CN"/>
        </w:rPr>
        <w:t>签署本协议。</w:t>
      </w:r>
    </w:p>
    <w:p w14:paraId="0811CCDF">
      <w:pPr>
        <w:pStyle w:val="19"/>
        <w:numPr>
          <w:ilvl w:val="0"/>
          <w:numId w:val="9"/>
        </w:numPr>
        <w:spacing w:beforeAutospacing="0" w:afterAutospacing="0" w:line="360" w:lineRule="auto"/>
        <w:ind w:firstLine="480"/>
        <w:jc w:val="both"/>
        <w:outlineLvl w:val="2"/>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保密信息的定义</w:t>
      </w:r>
    </w:p>
    <w:p w14:paraId="11752A72">
      <w:pPr>
        <w:pStyle w:val="19"/>
        <w:numPr>
          <w:ilvl w:val="-1"/>
          <w:numId w:val="0"/>
        </w:numPr>
        <w:spacing w:beforeAutospacing="0" w:afterAutospacing="0" w:line="360" w:lineRule="auto"/>
        <w:ind w:firstLine="420" w:firstLineChars="200"/>
        <w:jc w:val="both"/>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保密信息指</w:t>
      </w:r>
      <w:r>
        <w:rPr>
          <w:rFonts w:hint="eastAsia" w:ascii="宋体" w:hAnsi="宋体" w:eastAsia="宋体" w:cs="宋体"/>
          <w:color w:val="auto"/>
          <w:kern w:val="2"/>
          <w:sz w:val="21"/>
          <w:szCs w:val="22"/>
          <w:highlight w:val="none"/>
          <w:lang w:eastAsia="zh-CN"/>
        </w:rPr>
        <w:t>招标人</w:t>
      </w:r>
      <w:r>
        <w:rPr>
          <w:rFonts w:hint="eastAsia" w:ascii="宋体" w:hAnsi="宋体" w:eastAsia="宋体" w:cs="宋体"/>
          <w:color w:val="auto"/>
          <w:kern w:val="2"/>
          <w:sz w:val="21"/>
          <w:szCs w:val="22"/>
          <w:highlight w:val="none"/>
        </w:rPr>
        <w:t>以</w:t>
      </w:r>
      <w:r>
        <w:rPr>
          <w:rFonts w:hint="eastAsia" w:ascii="宋体" w:hAnsi="宋体" w:eastAsia="宋体" w:cs="宋体"/>
          <w:color w:val="auto"/>
          <w:kern w:val="2"/>
          <w:sz w:val="21"/>
          <w:szCs w:val="22"/>
          <w:highlight w:val="none"/>
          <w:lang w:val="en-US" w:eastAsia="zh-CN"/>
        </w:rPr>
        <w:t>任何</w:t>
      </w:r>
      <w:r>
        <w:rPr>
          <w:rFonts w:hint="eastAsia" w:ascii="宋体" w:hAnsi="宋体" w:eastAsia="宋体" w:cs="宋体"/>
          <w:color w:val="auto"/>
          <w:kern w:val="2"/>
          <w:sz w:val="21"/>
          <w:szCs w:val="22"/>
          <w:highlight w:val="none"/>
        </w:rPr>
        <w:t>方式</w:t>
      </w:r>
      <w:r>
        <w:rPr>
          <w:rFonts w:hint="eastAsia" w:ascii="宋体" w:hAnsi="宋体" w:eastAsia="宋体" w:cs="宋体"/>
          <w:color w:val="auto"/>
          <w:kern w:val="2"/>
          <w:sz w:val="21"/>
          <w:szCs w:val="22"/>
          <w:highlight w:val="none"/>
          <w:lang w:eastAsia="zh-CN"/>
        </w:rPr>
        <w:t>（</w:t>
      </w:r>
      <w:r>
        <w:rPr>
          <w:rFonts w:hint="eastAsia" w:ascii="宋体" w:hAnsi="宋体" w:eastAsia="宋体" w:cs="宋体"/>
          <w:color w:val="auto"/>
          <w:kern w:val="2"/>
          <w:sz w:val="21"/>
          <w:szCs w:val="22"/>
          <w:highlight w:val="none"/>
          <w:lang w:val="en-US" w:eastAsia="zh-CN"/>
        </w:rPr>
        <w:t>包括书面</w:t>
      </w:r>
      <w:r>
        <w:rPr>
          <w:rFonts w:hint="eastAsia" w:cs="宋体"/>
          <w:color w:val="auto"/>
          <w:kern w:val="2"/>
          <w:sz w:val="21"/>
          <w:szCs w:val="22"/>
          <w:highlight w:val="none"/>
          <w:lang w:val="en-US" w:eastAsia="zh-CN"/>
        </w:rPr>
        <w:t>和</w:t>
      </w:r>
      <w:r>
        <w:rPr>
          <w:rFonts w:hint="eastAsia" w:ascii="宋体" w:hAnsi="宋体" w:eastAsia="宋体" w:cs="宋体"/>
          <w:color w:val="auto"/>
          <w:kern w:val="2"/>
          <w:sz w:val="21"/>
          <w:szCs w:val="22"/>
          <w:highlight w:val="none"/>
          <w:lang w:val="en-US" w:eastAsia="zh-CN"/>
        </w:rPr>
        <w:t>口头）</w:t>
      </w:r>
      <w:r>
        <w:rPr>
          <w:rFonts w:hint="eastAsia" w:ascii="宋体" w:hAnsi="宋体" w:eastAsia="宋体" w:cs="宋体"/>
          <w:color w:val="auto"/>
          <w:kern w:val="2"/>
          <w:sz w:val="21"/>
          <w:szCs w:val="22"/>
          <w:highlight w:val="none"/>
        </w:rPr>
        <w:t>向</w:t>
      </w:r>
      <w:r>
        <w:rPr>
          <w:rFonts w:hint="eastAsia" w:ascii="宋体" w:hAnsi="宋体" w:eastAsia="宋体" w:cs="宋体"/>
          <w:color w:val="auto"/>
          <w:kern w:val="2"/>
          <w:sz w:val="21"/>
          <w:szCs w:val="22"/>
          <w:highlight w:val="none"/>
          <w:lang w:eastAsia="zh-CN"/>
        </w:rPr>
        <w:t>竞标人</w:t>
      </w:r>
      <w:r>
        <w:rPr>
          <w:rFonts w:hint="eastAsia" w:ascii="宋体" w:hAnsi="宋体" w:eastAsia="宋体" w:cs="宋体"/>
          <w:color w:val="auto"/>
          <w:kern w:val="2"/>
          <w:sz w:val="21"/>
          <w:szCs w:val="22"/>
          <w:highlight w:val="none"/>
        </w:rPr>
        <w:t>披露的所有信息，包括但不限于：基础图、建筑图、结构图、机电图以及设计的设备规格、数据、专有技术、成分、流程、草图、照片、样品、原型、概念、创意、先前、现时或规划中的研究和开发，先前、现时或规划中的方案和流程，有关当前或潜在客户的身份或其他信息、渗透数据及其他信息、方案和策略及其他工艺数据，或其他与</w:t>
      </w:r>
      <w:r>
        <w:rPr>
          <w:rFonts w:hint="eastAsia" w:ascii="宋体" w:hAnsi="宋体" w:eastAsia="宋体" w:cs="宋体"/>
          <w:color w:val="auto"/>
          <w:kern w:val="2"/>
          <w:sz w:val="21"/>
          <w:szCs w:val="22"/>
          <w:highlight w:val="none"/>
          <w:lang w:eastAsia="zh-CN"/>
        </w:rPr>
        <w:t>招标人</w:t>
      </w:r>
      <w:r>
        <w:rPr>
          <w:rFonts w:hint="eastAsia" w:ascii="宋体" w:hAnsi="宋体" w:eastAsia="宋体" w:cs="宋体"/>
          <w:color w:val="auto"/>
          <w:kern w:val="2"/>
          <w:sz w:val="21"/>
          <w:szCs w:val="22"/>
          <w:highlight w:val="none"/>
        </w:rPr>
        <w:t>业务和/或产品有关的无形资产。</w:t>
      </w:r>
    </w:p>
    <w:p w14:paraId="3F4B59AE">
      <w:pPr>
        <w:pStyle w:val="19"/>
        <w:numPr>
          <w:ilvl w:val="-1"/>
          <w:numId w:val="0"/>
        </w:numPr>
        <w:spacing w:beforeAutospacing="0" w:afterAutospacing="0" w:line="360" w:lineRule="auto"/>
        <w:ind w:firstLine="420" w:firstLineChars="200"/>
        <w:jc w:val="both"/>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保密信息也包括任何含有或源于其他任何保密信息的材料、数据等，无论它是由</w:t>
      </w:r>
      <w:r>
        <w:rPr>
          <w:rFonts w:hint="eastAsia" w:ascii="宋体" w:hAnsi="宋体" w:eastAsia="宋体" w:cs="宋体"/>
          <w:color w:val="auto"/>
          <w:kern w:val="2"/>
          <w:sz w:val="21"/>
          <w:szCs w:val="22"/>
          <w:highlight w:val="none"/>
          <w:lang w:eastAsia="zh-CN"/>
        </w:rPr>
        <w:t>招标人</w:t>
      </w:r>
      <w:r>
        <w:rPr>
          <w:rFonts w:hint="eastAsia" w:ascii="宋体" w:hAnsi="宋体" w:eastAsia="宋体" w:cs="宋体"/>
          <w:color w:val="auto"/>
          <w:kern w:val="2"/>
          <w:sz w:val="21"/>
          <w:szCs w:val="22"/>
          <w:highlight w:val="none"/>
        </w:rPr>
        <w:t>、</w:t>
      </w:r>
      <w:r>
        <w:rPr>
          <w:rFonts w:hint="eastAsia" w:ascii="宋体" w:hAnsi="宋体" w:eastAsia="宋体" w:cs="宋体"/>
          <w:color w:val="auto"/>
          <w:kern w:val="2"/>
          <w:sz w:val="21"/>
          <w:szCs w:val="22"/>
          <w:highlight w:val="none"/>
          <w:lang w:eastAsia="zh-CN"/>
        </w:rPr>
        <w:t>竞标人</w:t>
      </w:r>
      <w:r>
        <w:rPr>
          <w:rFonts w:hint="eastAsia" w:ascii="宋体" w:hAnsi="宋体" w:eastAsia="宋体" w:cs="宋体"/>
          <w:color w:val="auto"/>
          <w:kern w:val="2"/>
          <w:sz w:val="21"/>
          <w:szCs w:val="22"/>
          <w:highlight w:val="none"/>
        </w:rPr>
        <w:t>或任何其他人员编制。</w:t>
      </w:r>
    </w:p>
    <w:p w14:paraId="28D423F1">
      <w:pPr>
        <w:pStyle w:val="19"/>
        <w:numPr>
          <w:ilvl w:val="-1"/>
          <w:numId w:val="0"/>
        </w:numPr>
        <w:spacing w:beforeAutospacing="0" w:afterAutospacing="0" w:line="360" w:lineRule="auto"/>
        <w:ind w:firstLine="420" w:firstLineChars="200"/>
        <w:jc w:val="both"/>
        <w:outlineLvl w:val="2"/>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二、保密措施</w:t>
      </w:r>
    </w:p>
    <w:p w14:paraId="1BAF44F8">
      <w:pPr>
        <w:pStyle w:val="19"/>
        <w:numPr>
          <w:ilvl w:val="0"/>
          <w:numId w:val="10"/>
        </w:numPr>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在保密期间</w:t>
      </w:r>
      <w:r>
        <w:rPr>
          <w:rFonts w:hint="eastAsia" w:ascii="宋体" w:hAnsi="宋体" w:eastAsia="宋体" w:cs="宋体"/>
          <w:color w:val="auto"/>
          <w:kern w:val="2"/>
          <w:sz w:val="21"/>
          <w:szCs w:val="22"/>
          <w:highlight w:val="none"/>
          <w:lang w:val="en-US" w:eastAsia="zh-CN"/>
        </w:rPr>
        <w:t>竞标人应对</w:t>
      </w:r>
      <w:r>
        <w:rPr>
          <w:rFonts w:hint="eastAsia" w:ascii="宋体" w:hAnsi="宋体" w:eastAsia="宋体" w:cs="宋体"/>
          <w:color w:val="auto"/>
          <w:kern w:val="2"/>
          <w:sz w:val="21"/>
          <w:szCs w:val="22"/>
          <w:highlight w:val="none"/>
        </w:rPr>
        <w:t>保密信息严格保密，未经</w:t>
      </w:r>
      <w:r>
        <w:rPr>
          <w:rFonts w:hint="eastAsia" w:ascii="宋体" w:hAnsi="宋体" w:eastAsia="宋体" w:cs="宋体"/>
          <w:color w:val="auto"/>
          <w:kern w:val="2"/>
          <w:sz w:val="21"/>
          <w:szCs w:val="22"/>
          <w:highlight w:val="none"/>
          <w:lang w:eastAsia="zh-CN"/>
        </w:rPr>
        <w:t>招标人</w:t>
      </w:r>
      <w:r>
        <w:rPr>
          <w:rFonts w:hint="eastAsia" w:ascii="宋体" w:hAnsi="宋体" w:eastAsia="宋体" w:cs="宋体"/>
          <w:color w:val="auto"/>
          <w:kern w:val="2"/>
          <w:sz w:val="21"/>
          <w:szCs w:val="22"/>
          <w:highlight w:val="none"/>
        </w:rPr>
        <w:t>书面授权，不向除因本项目需要而需知悉该保密信息第三方披露、泄露、公开及传播。</w:t>
      </w:r>
      <w:r>
        <w:rPr>
          <w:rFonts w:hint="eastAsia" w:ascii="宋体" w:hAnsi="宋体" w:eastAsia="宋体" w:cs="宋体"/>
          <w:color w:val="auto"/>
          <w:kern w:val="2"/>
          <w:sz w:val="21"/>
          <w:szCs w:val="22"/>
          <w:highlight w:val="none"/>
          <w:lang w:val="en-US" w:eastAsia="zh-CN"/>
        </w:rPr>
        <w:t>竞标人应当严格控制知悉保密信息的人员范围，通常知悉保密信息的相关人员仅限于竞标人直接参与该项目的</w:t>
      </w:r>
      <w:r>
        <w:rPr>
          <w:rFonts w:hint="eastAsia" w:ascii="宋体" w:hAnsi="宋体" w:eastAsia="宋体" w:cs="宋体"/>
          <w:color w:val="auto"/>
          <w:kern w:val="2"/>
          <w:sz w:val="21"/>
          <w:szCs w:val="22"/>
          <w:highlight w:val="none"/>
        </w:rPr>
        <w:t>高级管理人员、施工的工程师、技术</w:t>
      </w:r>
      <w:r>
        <w:rPr>
          <w:rFonts w:hint="eastAsia" w:ascii="宋体" w:hAnsi="宋体" w:eastAsia="宋体" w:cs="宋体"/>
          <w:color w:val="auto"/>
          <w:kern w:val="2"/>
          <w:sz w:val="21"/>
          <w:szCs w:val="22"/>
          <w:highlight w:val="none"/>
          <w:lang w:val="en-US" w:eastAsia="zh-CN"/>
        </w:rPr>
        <w:t>人员，</w:t>
      </w:r>
      <w:r>
        <w:rPr>
          <w:rFonts w:hint="eastAsia" w:ascii="宋体" w:hAnsi="宋体" w:eastAsia="宋体" w:cs="宋体"/>
          <w:color w:val="auto"/>
          <w:kern w:val="2"/>
          <w:sz w:val="21"/>
          <w:szCs w:val="22"/>
          <w:highlight w:val="none"/>
          <w:lang w:eastAsia="zh-CN"/>
        </w:rPr>
        <w:t>竞标人</w:t>
      </w:r>
      <w:r>
        <w:rPr>
          <w:rFonts w:hint="eastAsia" w:ascii="宋体" w:hAnsi="宋体" w:eastAsia="宋体" w:cs="宋体"/>
          <w:color w:val="auto"/>
          <w:kern w:val="2"/>
          <w:sz w:val="21"/>
          <w:szCs w:val="22"/>
          <w:highlight w:val="none"/>
        </w:rPr>
        <w:t>应告知</w:t>
      </w:r>
      <w:r>
        <w:rPr>
          <w:rFonts w:hint="eastAsia" w:ascii="宋体" w:hAnsi="宋体" w:eastAsia="宋体" w:cs="宋体"/>
          <w:color w:val="auto"/>
          <w:kern w:val="2"/>
          <w:sz w:val="21"/>
          <w:szCs w:val="22"/>
          <w:highlight w:val="none"/>
          <w:lang w:val="en-US" w:eastAsia="zh-CN"/>
        </w:rPr>
        <w:t>知悉</w:t>
      </w:r>
      <w:r>
        <w:rPr>
          <w:rFonts w:hint="eastAsia" w:ascii="宋体" w:hAnsi="宋体" w:eastAsia="宋体" w:cs="宋体"/>
          <w:color w:val="auto"/>
          <w:kern w:val="2"/>
          <w:sz w:val="21"/>
          <w:szCs w:val="22"/>
          <w:highlight w:val="none"/>
        </w:rPr>
        <w:t>保密信息的上述人员本协议的内容以及要求其履行保密义务，并对上述人员的违反本协议的行为承担连带责任。</w:t>
      </w:r>
    </w:p>
    <w:p w14:paraId="79B606B2">
      <w:pPr>
        <w:pStyle w:val="19"/>
        <w:numPr>
          <w:ilvl w:val="0"/>
          <w:numId w:val="10"/>
        </w:numPr>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eastAsia="zh-CN"/>
        </w:rPr>
        <w:t>竞标人</w:t>
      </w:r>
      <w:r>
        <w:rPr>
          <w:rFonts w:hint="eastAsia" w:ascii="宋体" w:hAnsi="宋体" w:eastAsia="宋体" w:cs="宋体"/>
          <w:color w:val="auto"/>
          <w:kern w:val="2"/>
          <w:sz w:val="21"/>
          <w:szCs w:val="22"/>
          <w:highlight w:val="none"/>
        </w:rPr>
        <w:t>丢失</w:t>
      </w:r>
      <w:r>
        <w:rPr>
          <w:rFonts w:hint="eastAsia" w:ascii="宋体" w:hAnsi="宋体" w:eastAsia="宋体" w:cs="宋体"/>
          <w:color w:val="auto"/>
          <w:kern w:val="2"/>
          <w:sz w:val="21"/>
          <w:szCs w:val="22"/>
          <w:highlight w:val="none"/>
          <w:lang w:eastAsia="zh-CN"/>
        </w:rPr>
        <w:t>招标人</w:t>
      </w:r>
      <w:r>
        <w:rPr>
          <w:rFonts w:hint="eastAsia" w:ascii="宋体" w:hAnsi="宋体" w:eastAsia="宋体" w:cs="宋体"/>
          <w:color w:val="auto"/>
          <w:kern w:val="2"/>
          <w:sz w:val="21"/>
          <w:szCs w:val="22"/>
          <w:highlight w:val="none"/>
        </w:rPr>
        <w:t>的保密信息</w:t>
      </w:r>
      <w:r>
        <w:rPr>
          <w:rFonts w:hint="eastAsia" w:ascii="宋体" w:hAnsi="宋体" w:eastAsia="宋体" w:cs="宋体"/>
          <w:color w:val="auto"/>
          <w:kern w:val="2"/>
          <w:sz w:val="21"/>
          <w:szCs w:val="22"/>
          <w:highlight w:val="none"/>
          <w:lang w:val="en-US" w:eastAsia="zh-CN"/>
        </w:rPr>
        <w:t>或存储有保密信息的载体</w:t>
      </w:r>
      <w:r>
        <w:rPr>
          <w:rFonts w:hint="eastAsia" w:ascii="宋体" w:hAnsi="宋体" w:eastAsia="宋体" w:cs="宋体"/>
          <w:color w:val="auto"/>
          <w:kern w:val="2"/>
          <w:sz w:val="21"/>
          <w:szCs w:val="22"/>
          <w:highlight w:val="none"/>
        </w:rPr>
        <w:t>的，应立即书面通知</w:t>
      </w:r>
      <w:r>
        <w:rPr>
          <w:rFonts w:hint="eastAsia" w:ascii="宋体" w:hAnsi="宋体" w:eastAsia="宋体" w:cs="宋体"/>
          <w:color w:val="auto"/>
          <w:kern w:val="2"/>
          <w:sz w:val="21"/>
          <w:szCs w:val="22"/>
          <w:highlight w:val="none"/>
          <w:lang w:eastAsia="zh-CN"/>
        </w:rPr>
        <w:t>招标人，</w:t>
      </w:r>
      <w:r>
        <w:rPr>
          <w:rFonts w:hint="eastAsia" w:ascii="宋体" w:hAnsi="宋体" w:eastAsia="宋体" w:cs="宋体"/>
          <w:color w:val="auto"/>
          <w:kern w:val="2"/>
          <w:sz w:val="21"/>
          <w:szCs w:val="22"/>
          <w:highlight w:val="none"/>
          <w:lang w:val="en-US" w:eastAsia="zh-CN"/>
        </w:rPr>
        <w:t>并第一时间</w:t>
      </w:r>
      <w:r>
        <w:rPr>
          <w:rFonts w:hint="eastAsia" w:ascii="宋体" w:hAnsi="宋体" w:eastAsia="宋体" w:cs="宋体"/>
          <w:color w:val="auto"/>
          <w:kern w:val="2"/>
          <w:sz w:val="21"/>
          <w:szCs w:val="22"/>
          <w:highlight w:val="none"/>
        </w:rPr>
        <w:t>采取补救措施。</w:t>
      </w:r>
      <w:r>
        <w:rPr>
          <w:rFonts w:hint="eastAsia" w:ascii="宋体" w:hAnsi="宋体" w:eastAsia="宋体" w:cs="宋体"/>
          <w:color w:val="auto"/>
          <w:kern w:val="2"/>
          <w:sz w:val="21"/>
          <w:szCs w:val="22"/>
          <w:highlight w:val="none"/>
          <w:lang w:eastAsia="zh-CN"/>
        </w:rPr>
        <w:t>竞标人</w:t>
      </w:r>
      <w:r>
        <w:rPr>
          <w:rFonts w:hint="eastAsia" w:ascii="宋体" w:hAnsi="宋体" w:eastAsia="宋体" w:cs="宋体"/>
          <w:color w:val="auto"/>
          <w:kern w:val="2"/>
          <w:sz w:val="21"/>
          <w:szCs w:val="22"/>
          <w:highlight w:val="none"/>
        </w:rPr>
        <w:t>承担一切因其丢失导致保密信息而给</w:t>
      </w:r>
      <w:r>
        <w:rPr>
          <w:rFonts w:hint="eastAsia" w:ascii="宋体" w:hAnsi="宋体" w:eastAsia="宋体" w:cs="宋体"/>
          <w:color w:val="auto"/>
          <w:kern w:val="2"/>
          <w:sz w:val="21"/>
          <w:szCs w:val="22"/>
          <w:highlight w:val="none"/>
          <w:lang w:eastAsia="zh-CN"/>
        </w:rPr>
        <w:t>招标人</w:t>
      </w:r>
      <w:r>
        <w:rPr>
          <w:rFonts w:hint="eastAsia" w:ascii="宋体" w:hAnsi="宋体" w:eastAsia="宋体" w:cs="宋体"/>
          <w:color w:val="auto"/>
          <w:kern w:val="2"/>
          <w:sz w:val="21"/>
          <w:szCs w:val="22"/>
          <w:highlight w:val="none"/>
        </w:rPr>
        <w:t>带来的损失</w:t>
      </w:r>
      <w:r>
        <w:rPr>
          <w:rFonts w:hint="eastAsia" w:ascii="宋体" w:hAnsi="宋体" w:eastAsia="宋体" w:cs="宋体"/>
          <w:color w:val="auto"/>
          <w:kern w:val="2"/>
          <w:sz w:val="21"/>
          <w:szCs w:val="22"/>
          <w:highlight w:val="none"/>
          <w:lang w:eastAsia="zh-CN"/>
        </w:rPr>
        <w:t>，</w:t>
      </w:r>
      <w:r>
        <w:rPr>
          <w:rFonts w:hint="eastAsia" w:ascii="宋体" w:hAnsi="宋体" w:eastAsia="宋体" w:cs="宋体"/>
          <w:color w:val="auto"/>
          <w:kern w:val="2"/>
          <w:sz w:val="21"/>
          <w:szCs w:val="22"/>
          <w:highlight w:val="none"/>
          <w:lang w:val="en-US" w:eastAsia="zh-CN"/>
        </w:rPr>
        <w:t>包括但不限于保密信息公开给招标人造成的实际损失和预期利益损失，还包括招标人为补救信息丢失所产生的全部费用</w:t>
      </w:r>
      <w:r>
        <w:rPr>
          <w:rFonts w:hint="eastAsia" w:ascii="宋体" w:hAnsi="宋体" w:eastAsia="宋体" w:cs="宋体"/>
          <w:color w:val="auto"/>
          <w:kern w:val="2"/>
          <w:sz w:val="21"/>
          <w:szCs w:val="22"/>
          <w:highlight w:val="none"/>
        </w:rPr>
        <w:t>。</w:t>
      </w:r>
    </w:p>
    <w:p w14:paraId="5CF7D680">
      <w:pPr>
        <w:pStyle w:val="19"/>
        <w:numPr>
          <w:ilvl w:val="0"/>
          <w:numId w:val="10"/>
        </w:numPr>
        <w:spacing w:beforeAutospacing="0" w:afterAutospacing="0" w:line="360" w:lineRule="auto"/>
        <w:ind w:firstLine="480"/>
        <w:jc w:val="both"/>
        <w:rPr>
          <w:rFonts w:hint="eastAsia" w:ascii="宋体" w:hAnsi="宋体" w:eastAsia="宋体" w:cs="宋体"/>
          <w:color w:val="auto"/>
          <w:kern w:val="2"/>
          <w:sz w:val="21"/>
          <w:szCs w:val="22"/>
          <w:highlight w:val="none"/>
          <w:lang w:eastAsia="zh-CN"/>
        </w:rPr>
      </w:pPr>
      <w:r>
        <w:rPr>
          <w:rFonts w:hint="eastAsia" w:ascii="宋体" w:hAnsi="宋体" w:eastAsia="宋体" w:cs="宋体"/>
          <w:color w:val="auto"/>
          <w:kern w:val="2"/>
          <w:sz w:val="21"/>
          <w:szCs w:val="22"/>
          <w:highlight w:val="none"/>
          <w:lang w:eastAsia="zh-CN"/>
        </w:rPr>
        <w:t>招标人</w:t>
      </w:r>
      <w:r>
        <w:rPr>
          <w:rFonts w:hint="eastAsia" w:ascii="宋体" w:hAnsi="宋体" w:eastAsia="宋体" w:cs="宋体"/>
          <w:color w:val="auto"/>
          <w:kern w:val="2"/>
          <w:sz w:val="21"/>
          <w:szCs w:val="22"/>
          <w:highlight w:val="none"/>
        </w:rPr>
        <w:t>提供的保密信息，仅可用于</w:t>
      </w:r>
      <w:r>
        <w:rPr>
          <w:rFonts w:hint="eastAsia" w:ascii="宋体" w:hAnsi="宋体" w:eastAsia="宋体" w:cs="宋体"/>
          <w:color w:val="auto"/>
          <w:kern w:val="2"/>
          <w:sz w:val="21"/>
          <w:szCs w:val="22"/>
          <w:highlight w:val="none"/>
          <w:lang w:eastAsia="zh-CN"/>
        </w:rPr>
        <w:t>招标人</w:t>
      </w:r>
      <w:r>
        <w:rPr>
          <w:rFonts w:hint="eastAsia" w:ascii="宋体" w:hAnsi="宋体" w:eastAsia="宋体" w:cs="宋体"/>
          <w:color w:val="auto"/>
          <w:kern w:val="2"/>
          <w:sz w:val="21"/>
          <w:szCs w:val="22"/>
          <w:highlight w:val="none"/>
        </w:rPr>
        <w:t>与</w:t>
      </w:r>
      <w:r>
        <w:rPr>
          <w:rFonts w:hint="eastAsia" w:ascii="宋体" w:hAnsi="宋体" w:eastAsia="宋体" w:cs="宋体"/>
          <w:color w:val="auto"/>
          <w:kern w:val="2"/>
          <w:sz w:val="21"/>
          <w:szCs w:val="22"/>
          <w:highlight w:val="none"/>
          <w:lang w:eastAsia="zh-CN"/>
        </w:rPr>
        <w:t>竞标人</w:t>
      </w:r>
      <w:r>
        <w:rPr>
          <w:rFonts w:hint="eastAsia" w:ascii="宋体" w:hAnsi="宋体" w:eastAsia="宋体" w:cs="宋体"/>
          <w:color w:val="auto"/>
          <w:kern w:val="2"/>
          <w:sz w:val="21"/>
          <w:szCs w:val="22"/>
          <w:highlight w:val="none"/>
        </w:rPr>
        <w:t>之间的交易与合作，未经</w:t>
      </w:r>
      <w:r>
        <w:rPr>
          <w:rFonts w:hint="eastAsia" w:ascii="宋体" w:hAnsi="宋体" w:eastAsia="宋体" w:cs="宋体"/>
          <w:color w:val="auto"/>
          <w:kern w:val="2"/>
          <w:sz w:val="21"/>
          <w:szCs w:val="22"/>
          <w:highlight w:val="none"/>
          <w:lang w:eastAsia="zh-CN"/>
        </w:rPr>
        <w:t>招标人</w:t>
      </w:r>
      <w:r>
        <w:rPr>
          <w:rFonts w:hint="eastAsia" w:ascii="宋体" w:hAnsi="宋体" w:eastAsia="宋体" w:cs="宋体"/>
          <w:color w:val="auto"/>
          <w:kern w:val="2"/>
          <w:sz w:val="21"/>
          <w:szCs w:val="22"/>
          <w:highlight w:val="none"/>
        </w:rPr>
        <w:t>书面同意，</w:t>
      </w:r>
      <w:r>
        <w:rPr>
          <w:rFonts w:hint="eastAsia" w:ascii="宋体" w:hAnsi="宋体" w:eastAsia="宋体" w:cs="宋体"/>
          <w:color w:val="auto"/>
          <w:kern w:val="2"/>
          <w:sz w:val="21"/>
          <w:szCs w:val="22"/>
          <w:highlight w:val="none"/>
          <w:lang w:eastAsia="zh-CN"/>
        </w:rPr>
        <w:t>竞标人</w:t>
      </w:r>
      <w:r>
        <w:rPr>
          <w:rFonts w:hint="eastAsia" w:ascii="宋体" w:hAnsi="宋体" w:eastAsia="宋体" w:cs="宋体"/>
          <w:color w:val="auto"/>
          <w:kern w:val="2"/>
          <w:sz w:val="21"/>
          <w:szCs w:val="22"/>
          <w:highlight w:val="none"/>
        </w:rPr>
        <w:t>不得作其他用途。</w:t>
      </w:r>
    </w:p>
    <w:p w14:paraId="1ACE2E10">
      <w:pPr>
        <w:pStyle w:val="19"/>
        <w:numPr>
          <w:ilvl w:val="0"/>
          <w:numId w:val="10"/>
        </w:numPr>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竞标人未经招标人书面同意不得擅自拷贝、复制保密信息，竞标人相关合同义务履行完毕后</w:t>
      </w:r>
      <w:r>
        <w:rPr>
          <w:rFonts w:hint="eastAsia" w:ascii="宋体" w:hAnsi="宋体" w:eastAsia="宋体" w:cs="宋体"/>
          <w:color w:val="auto"/>
          <w:kern w:val="2"/>
          <w:sz w:val="21"/>
          <w:szCs w:val="22"/>
          <w:highlight w:val="none"/>
        </w:rPr>
        <w:t>，应主动将记录有保密信息的载体及其复制品返还</w:t>
      </w:r>
      <w:r>
        <w:rPr>
          <w:rFonts w:hint="eastAsia" w:ascii="宋体" w:hAnsi="宋体" w:eastAsia="宋体" w:cs="宋体"/>
          <w:color w:val="auto"/>
          <w:kern w:val="2"/>
          <w:sz w:val="21"/>
          <w:szCs w:val="22"/>
          <w:highlight w:val="none"/>
          <w:lang w:eastAsia="zh-CN"/>
        </w:rPr>
        <w:t>，</w:t>
      </w:r>
      <w:r>
        <w:rPr>
          <w:rFonts w:hint="eastAsia" w:ascii="宋体" w:hAnsi="宋体" w:eastAsia="宋体" w:cs="宋体"/>
          <w:color w:val="auto"/>
          <w:kern w:val="2"/>
          <w:sz w:val="21"/>
          <w:szCs w:val="22"/>
          <w:highlight w:val="none"/>
          <w:lang w:val="en-US" w:eastAsia="zh-CN"/>
        </w:rPr>
        <w:t>不得擅自销毁或处理</w:t>
      </w:r>
      <w:r>
        <w:rPr>
          <w:rFonts w:hint="eastAsia" w:ascii="宋体" w:hAnsi="宋体" w:eastAsia="宋体" w:cs="宋体"/>
          <w:color w:val="auto"/>
          <w:kern w:val="2"/>
          <w:sz w:val="21"/>
          <w:szCs w:val="22"/>
          <w:highlight w:val="none"/>
        </w:rPr>
        <w:t>，如后续因</w:t>
      </w:r>
      <w:r>
        <w:rPr>
          <w:rFonts w:hint="eastAsia" w:ascii="宋体" w:hAnsi="宋体" w:eastAsia="宋体" w:cs="宋体"/>
          <w:color w:val="auto"/>
          <w:kern w:val="2"/>
          <w:sz w:val="21"/>
          <w:szCs w:val="22"/>
          <w:highlight w:val="none"/>
          <w:lang w:eastAsia="zh-CN"/>
        </w:rPr>
        <w:t>竞标人</w:t>
      </w:r>
      <w:r>
        <w:rPr>
          <w:rFonts w:hint="eastAsia" w:ascii="宋体" w:hAnsi="宋体" w:eastAsia="宋体" w:cs="宋体"/>
          <w:color w:val="auto"/>
          <w:kern w:val="2"/>
          <w:sz w:val="21"/>
          <w:szCs w:val="22"/>
          <w:highlight w:val="none"/>
        </w:rPr>
        <w:t>违反本条款约定给</w:t>
      </w:r>
      <w:r>
        <w:rPr>
          <w:rFonts w:hint="eastAsia" w:ascii="宋体" w:hAnsi="宋体" w:eastAsia="宋体" w:cs="宋体"/>
          <w:color w:val="auto"/>
          <w:kern w:val="2"/>
          <w:sz w:val="21"/>
          <w:szCs w:val="22"/>
          <w:highlight w:val="none"/>
          <w:lang w:eastAsia="zh-CN"/>
        </w:rPr>
        <w:t>招标人</w:t>
      </w:r>
      <w:r>
        <w:rPr>
          <w:rFonts w:hint="eastAsia" w:ascii="宋体" w:hAnsi="宋体" w:eastAsia="宋体" w:cs="宋体"/>
          <w:color w:val="auto"/>
          <w:kern w:val="2"/>
          <w:sz w:val="21"/>
          <w:szCs w:val="22"/>
          <w:highlight w:val="none"/>
        </w:rPr>
        <w:t>造成的损失</w:t>
      </w:r>
      <w:r>
        <w:rPr>
          <w:rFonts w:hint="eastAsia" w:ascii="宋体" w:hAnsi="宋体" w:eastAsia="宋体" w:cs="宋体"/>
          <w:color w:val="auto"/>
          <w:kern w:val="2"/>
          <w:sz w:val="21"/>
          <w:szCs w:val="22"/>
          <w:highlight w:val="none"/>
          <w:lang w:eastAsia="zh-CN"/>
        </w:rPr>
        <w:t>竞标人</w:t>
      </w:r>
      <w:r>
        <w:rPr>
          <w:rFonts w:hint="eastAsia" w:ascii="宋体" w:hAnsi="宋体" w:eastAsia="宋体" w:cs="宋体"/>
          <w:color w:val="auto"/>
          <w:kern w:val="2"/>
          <w:sz w:val="21"/>
          <w:szCs w:val="22"/>
          <w:highlight w:val="none"/>
        </w:rPr>
        <w:t>应当赔偿。</w:t>
      </w:r>
    </w:p>
    <w:p w14:paraId="0CCE2D32">
      <w:pPr>
        <w:pStyle w:val="19"/>
        <w:numPr>
          <w:ilvl w:val="0"/>
          <w:numId w:val="10"/>
        </w:numPr>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竞标人确认</w:t>
      </w:r>
      <w:r>
        <w:rPr>
          <w:rFonts w:hint="eastAsia" w:ascii="宋体" w:hAnsi="宋体" w:eastAsia="宋体" w:cs="宋体"/>
          <w:color w:val="auto"/>
          <w:kern w:val="2"/>
          <w:sz w:val="21"/>
          <w:szCs w:val="22"/>
          <w:highlight w:val="none"/>
        </w:rPr>
        <w:t>，</w:t>
      </w:r>
      <w:r>
        <w:rPr>
          <w:rFonts w:hint="eastAsia" w:ascii="宋体" w:hAnsi="宋体" w:eastAsia="宋体" w:cs="宋体"/>
          <w:color w:val="auto"/>
          <w:kern w:val="2"/>
          <w:sz w:val="21"/>
          <w:szCs w:val="22"/>
          <w:highlight w:val="none"/>
          <w:lang w:eastAsia="zh-CN"/>
        </w:rPr>
        <w:t>招标人</w:t>
      </w:r>
      <w:r>
        <w:rPr>
          <w:rFonts w:hint="eastAsia" w:ascii="宋体" w:hAnsi="宋体" w:eastAsia="宋体" w:cs="宋体"/>
          <w:color w:val="auto"/>
          <w:kern w:val="2"/>
          <w:sz w:val="21"/>
          <w:szCs w:val="22"/>
          <w:highlight w:val="none"/>
        </w:rPr>
        <w:t>披露</w:t>
      </w:r>
      <w:r>
        <w:rPr>
          <w:rFonts w:hint="eastAsia" w:ascii="宋体" w:hAnsi="宋体" w:eastAsia="宋体" w:cs="宋体"/>
          <w:color w:val="auto"/>
          <w:kern w:val="2"/>
          <w:sz w:val="21"/>
          <w:szCs w:val="22"/>
          <w:highlight w:val="none"/>
          <w:lang w:val="en-US" w:eastAsia="zh-CN"/>
        </w:rPr>
        <w:t>的</w:t>
      </w:r>
      <w:r>
        <w:rPr>
          <w:rFonts w:hint="eastAsia" w:ascii="宋体" w:hAnsi="宋体" w:eastAsia="宋体" w:cs="宋体"/>
          <w:color w:val="auto"/>
          <w:kern w:val="2"/>
          <w:sz w:val="21"/>
          <w:szCs w:val="22"/>
          <w:highlight w:val="none"/>
        </w:rPr>
        <w:t>任何保密信息并不意味着授予</w:t>
      </w:r>
      <w:r>
        <w:rPr>
          <w:rFonts w:hint="eastAsia" w:ascii="宋体" w:hAnsi="宋体" w:eastAsia="宋体" w:cs="宋体"/>
          <w:color w:val="auto"/>
          <w:kern w:val="2"/>
          <w:sz w:val="21"/>
          <w:szCs w:val="22"/>
          <w:highlight w:val="none"/>
          <w:lang w:eastAsia="zh-CN"/>
        </w:rPr>
        <w:t>竞标人</w:t>
      </w:r>
      <w:r>
        <w:rPr>
          <w:rFonts w:hint="eastAsia" w:ascii="宋体" w:hAnsi="宋体" w:eastAsia="宋体" w:cs="宋体"/>
          <w:color w:val="auto"/>
          <w:kern w:val="2"/>
          <w:sz w:val="21"/>
          <w:szCs w:val="22"/>
          <w:highlight w:val="none"/>
        </w:rPr>
        <w:t>任何相关的许可, 也没有授予</w:t>
      </w:r>
      <w:r>
        <w:rPr>
          <w:rFonts w:hint="eastAsia" w:ascii="宋体" w:hAnsi="宋体" w:eastAsia="宋体" w:cs="宋体"/>
          <w:color w:val="auto"/>
          <w:kern w:val="2"/>
          <w:sz w:val="21"/>
          <w:szCs w:val="22"/>
          <w:highlight w:val="none"/>
          <w:lang w:eastAsia="zh-CN"/>
        </w:rPr>
        <w:t>竞标人</w:t>
      </w:r>
      <w:r>
        <w:rPr>
          <w:rFonts w:hint="eastAsia" w:ascii="宋体" w:hAnsi="宋体" w:eastAsia="宋体" w:cs="宋体"/>
          <w:color w:val="auto"/>
          <w:kern w:val="2"/>
          <w:sz w:val="21"/>
          <w:szCs w:val="22"/>
          <w:highlight w:val="none"/>
        </w:rPr>
        <w:t>与保密信息的有关的专利权、版权及其他授予者现在或将来拥有或控制的权利，且</w:t>
      </w:r>
      <w:r>
        <w:rPr>
          <w:rFonts w:hint="eastAsia" w:ascii="宋体" w:hAnsi="宋体" w:eastAsia="宋体" w:cs="宋体"/>
          <w:color w:val="auto"/>
          <w:kern w:val="2"/>
          <w:sz w:val="21"/>
          <w:szCs w:val="22"/>
          <w:highlight w:val="none"/>
          <w:lang w:eastAsia="zh-CN"/>
        </w:rPr>
        <w:t>招标人</w:t>
      </w:r>
      <w:r>
        <w:rPr>
          <w:rFonts w:hint="eastAsia" w:ascii="宋体" w:hAnsi="宋体" w:eastAsia="宋体" w:cs="宋体"/>
          <w:color w:val="auto"/>
          <w:kern w:val="2"/>
          <w:sz w:val="21"/>
          <w:szCs w:val="22"/>
          <w:highlight w:val="none"/>
        </w:rPr>
        <w:t>对其提供的保密信息的准确性、完整性、充分性、商用性、特定目的适用性等</w:t>
      </w:r>
      <w:r>
        <w:rPr>
          <w:rFonts w:hint="eastAsia" w:ascii="宋体" w:hAnsi="宋体" w:eastAsia="宋体" w:cs="宋体"/>
          <w:color w:val="auto"/>
          <w:kern w:val="2"/>
          <w:sz w:val="21"/>
          <w:szCs w:val="22"/>
          <w:highlight w:val="none"/>
          <w:lang w:eastAsia="zh-CN"/>
        </w:rPr>
        <w:t>未做</w:t>
      </w:r>
      <w:r>
        <w:rPr>
          <w:rFonts w:hint="eastAsia" w:ascii="宋体" w:hAnsi="宋体" w:eastAsia="宋体" w:cs="宋体"/>
          <w:color w:val="auto"/>
          <w:kern w:val="2"/>
          <w:sz w:val="21"/>
          <w:szCs w:val="22"/>
          <w:highlight w:val="none"/>
        </w:rPr>
        <w:t>任何明示、默示的保证，也不承担任何保证责任。</w:t>
      </w:r>
    </w:p>
    <w:p w14:paraId="40836DE0">
      <w:pPr>
        <w:pStyle w:val="19"/>
        <w:numPr>
          <w:ilvl w:val="-1"/>
          <w:numId w:val="0"/>
        </w:numPr>
        <w:spacing w:beforeAutospacing="0" w:afterAutospacing="0" w:line="360" w:lineRule="auto"/>
        <w:ind w:firstLine="420" w:firstLineChars="200"/>
        <w:jc w:val="both"/>
        <w:outlineLvl w:val="2"/>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三、违约责任</w:t>
      </w:r>
    </w:p>
    <w:p w14:paraId="7483785F">
      <w:pPr>
        <w:pStyle w:val="19"/>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1.</w:t>
      </w:r>
      <w:r>
        <w:rPr>
          <w:rFonts w:hint="eastAsia" w:ascii="宋体" w:hAnsi="宋体" w:eastAsia="宋体" w:cs="宋体"/>
          <w:color w:val="auto"/>
          <w:kern w:val="2"/>
          <w:sz w:val="21"/>
          <w:szCs w:val="22"/>
          <w:highlight w:val="none"/>
        </w:rPr>
        <w:t>若</w:t>
      </w:r>
      <w:r>
        <w:rPr>
          <w:rFonts w:hint="eastAsia" w:ascii="宋体" w:hAnsi="宋体" w:eastAsia="宋体" w:cs="宋体"/>
          <w:color w:val="auto"/>
          <w:kern w:val="2"/>
          <w:sz w:val="21"/>
          <w:szCs w:val="22"/>
          <w:highlight w:val="none"/>
          <w:lang w:val="en-US" w:eastAsia="zh-CN"/>
        </w:rPr>
        <w:t>竞标人</w:t>
      </w:r>
      <w:r>
        <w:rPr>
          <w:rFonts w:hint="eastAsia" w:ascii="宋体" w:hAnsi="宋体" w:eastAsia="宋体" w:cs="宋体"/>
          <w:color w:val="auto"/>
          <w:kern w:val="2"/>
          <w:sz w:val="21"/>
          <w:szCs w:val="22"/>
          <w:highlight w:val="none"/>
        </w:rPr>
        <w:t>能履行其在本协议项下的部分或全部义务或责任，其应被视为违反了本协议，并应对</w:t>
      </w:r>
      <w:r>
        <w:rPr>
          <w:rFonts w:hint="eastAsia" w:ascii="宋体" w:hAnsi="宋体" w:eastAsia="宋体" w:cs="宋体"/>
          <w:color w:val="auto"/>
          <w:kern w:val="2"/>
          <w:sz w:val="21"/>
          <w:szCs w:val="22"/>
          <w:highlight w:val="none"/>
          <w:lang w:val="en-US" w:eastAsia="zh-CN"/>
        </w:rPr>
        <w:t>招标人</w:t>
      </w:r>
      <w:r>
        <w:rPr>
          <w:rFonts w:hint="eastAsia" w:ascii="宋体" w:hAnsi="宋体" w:eastAsia="宋体" w:cs="宋体"/>
          <w:color w:val="auto"/>
          <w:kern w:val="2"/>
          <w:sz w:val="21"/>
          <w:szCs w:val="22"/>
          <w:highlight w:val="none"/>
        </w:rPr>
        <w:t>所遭受或引致的损失承担赔偿责任。</w:t>
      </w:r>
    </w:p>
    <w:p w14:paraId="1BC796CD">
      <w:pPr>
        <w:pStyle w:val="19"/>
        <w:numPr>
          <w:ilvl w:val="0"/>
          <w:numId w:val="11"/>
        </w:numPr>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若</w:t>
      </w:r>
      <w:r>
        <w:rPr>
          <w:rFonts w:hint="eastAsia" w:ascii="宋体" w:hAnsi="宋体" w:eastAsia="宋体" w:cs="宋体"/>
          <w:color w:val="auto"/>
          <w:kern w:val="2"/>
          <w:sz w:val="21"/>
          <w:szCs w:val="22"/>
          <w:highlight w:val="none"/>
          <w:lang w:val="en-US" w:eastAsia="zh-CN"/>
        </w:rPr>
        <w:t>招标人及招标人人员</w:t>
      </w:r>
      <w:r>
        <w:rPr>
          <w:rFonts w:hint="eastAsia" w:ascii="宋体" w:hAnsi="宋体" w:eastAsia="宋体" w:cs="宋体"/>
          <w:color w:val="auto"/>
          <w:kern w:val="2"/>
          <w:sz w:val="21"/>
          <w:szCs w:val="22"/>
          <w:highlight w:val="none"/>
        </w:rPr>
        <w:t>违反本协议约定义务，无论故意或过失，应当立即停止侵害，并及时采取一切必要措施防止保密信息的扩散，尽最大可能消除影响或减少损失，违约金不足以弥补</w:t>
      </w:r>
      <w:r>
        <w:rPr>
          <w:rFonts w:hint="eastAsia" w:ascii="宋体" w:hAnsi="宋体" w:eastAsia="宋体" w:cs="宋体"/>
          <w:color w:val="auto"/>
          <w:kern w:val="2"/>
          <w:sz w:val="21"/>
          <w:szCs w:val="22"/>
          <w:highlight w:val="none"/>
          <w:lang w:val="en-US" w:eastAsia="zh-CN"/>
        </w:rPr>
        <w:t>招标人</w:t>
      </w:r>
      <w:r>
        <w:rPr>
          <w:rFonts w:hint="eastAsia" w:ascii="宋体" w:hAnsi="宋体" w:eastAsia="宋体" w:cs="宋体"/>
          <w:color w:val="auto"/>
          <w:kern w:val="2"/>
          <w:sz w:val="21"/>
          <w:szCs w:val="22"/>
          <w:highlight w:val="none"/>
        </w:rPr>
        <w:t>遭受的损失（包括直接损失及预期利益损失）的，</w:t>
      </w:r>
      <w:r>
        <w:rPr>
          <w:rFonts w:hint="eastAsia" w:ascii="宋体" w:hAnsi="宋体" w:eastAsia="宋体" w:cs="宋体"/>
          <w:color w:val="auto"/>
          <w:kern w:val="2"/>
          <w:sz w:val="21"/>
          <w:szCs w:val="22"/>
          <w:highlight w:val="none"/>
          <w:lang w:val="en-US" w:eastAsia="zh-CN"/>
        </w:rPr>
        <w:t>竞标人</w:t>
      </w:r>
      <w:r>
        <w:rPr>
          <w:rFonts w:hint="eastAsia" w:ascii="宋体" w:hAnsi="宋体" w:eastAsia="宋体" w:cs="宋体"/>
          <w:color w:val="auto"/>
          <w:kern w:val="2"/>
          <w:sz w:val="21"/>
          <w:szCs w:val="22"/>
          <w:highlight w:val="none"/>
        </w:rPr>
        <w:t>应当予以补足。</w:t>
      </w:r>
    </w:p>
    <w:p w14:paraId="045A4A10">
      <w:pPr>
        <w:pStyle w:val="19"/>
        <w:numPr>
          <w:ilvl w:val="0"/>
          <w:numId w:val="11"/>
        </w:numPr>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竞标人（其关联人员及关联方的违约行为等同竞标人的违约行为）违反本协议约定的保密义务，而导致招标人（其关联方的权益损失等同招标人的权益损失）的权益受到损害，竞标人应按照竞标人的第一次（首次）竞标</w:t>
      </w:r>
      <w:r>
        <w:rPr>
          <w:rFonts w:hint="eastAsia" w:ascii="宋体" w:hAnsi="宋体" w:eastAsia="宋体" w:cs="宋体"/>
          <w:color w:val="auto"/>
          <w:kern w:val="2"/>
          <w:sz w:val="21"/>
          <w:szCs w:val="22"/>
          <w:highlight w:val="none"/>
          <w:lang w:val="en-US" w:eastAsia="zh-CN"/>
        </w:rPr>
        <w:t>报</w:t>
      </w:r>
      <w:r>
        <w:rPr>
          <w:rFonts w:hint="eastAsia" w:ascii="宋体" w:hAnsi="宋体" w:eastAsia="宋体" w:cs="宋体"/>
          <w:color w:val="auto"/>
          <w:kern w:val="2"/>
          <w:sz w:val="21"/>
          <w:szCs w:val="22"/>
          <w:highlight w:val="none"/>
        </w:rPr>
        <w:t>价的30%计算。同时，若竞标人在招标项目定标前违反本协议，或定标后未中标的竞标人违反本协议，竞标人除支付违约金外，招标人</w:t>
      </w:r>
      <w:r>
        <w:rPr>
          <w:rFonts w:hint="eastAsia" w:cs="宋体"/>
          <w:color w:val="auto"/>
          <w:kern w:val="2"/>
          <w:sz w:val="21"/>
          <w:szCs w:val="22"/>
          <w:highlight w:val="none"/>
        </w:rPr>
        <w:t>有</w:t>
      </w:r>
      <w:r>
        <w:rPr>
          <w:rFonts w:hint="eastAsia" w:cs="宋体"/>
          <w:color w:val="auto"/>
          <w:kern w:val="2"/>
          <w:sz w:val="21"/>
          <w:szCs w:val="22"/>
          <w:highlight w:val="none"/>
          <w:lang w:val="en-US" w:eastAsia="zh-CN"/>
        </w:rPr>
        <w:t>权</w:t>
      </w:r>
      <w:r>
        <w:rPr>
          <w:rFonts w:hint="eastAsia" w:ascii="宋体" w:hAnsi="宋体" w:eastAsia="宋体" w:cs="宋体"/>
          <w:color w:val="auto"/>
          <w:kern w:val="2"/>
          <w:sz w:val="21"/>
          <w:szCs w:val="22"/>
          <w:highlight w:val="none"/>
        </w:rPr>
        <w:t>取消其本次竞标及后续全部的竞标资格并没收竞标保证金；若定标后，中标的竞标人违反本协议，招标人有权立即解除双方的全部项目协议及合同，相应损失由竞标人全部承担，竞标保证金不予退还。</w:t>
      </w:r>
    </w:p>
    <w:p w14:paraId="495FD54A">
      <w:pPr>
        <w:pStyle w:val="19"/>
        <w:numPr>
          <w:ilvl w:val="0"/>
          <w:numId w:val="11"/>
        </w:numPr>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招标人</w:t>
      </w:r>
      <w:r>
        <w:rPr>
          <w:rFonts w:hint="eastAsia" w:ascii="宋体" w:hAnsi="宋体" w:eastAsia="宋体" w:cs="宋体"/>
          <w:color w:val="auto"/>
          <w:kern w:val="2"/>
          <w:sz w:val="21"/>
          <w:szCs w:val="22"/>
          <w:highlight w:val="none"/>
        </w:rPr>
        <w:t>对</w:t>
      </w:r>
      <w:r>
        <w:rPr>
          <w:rFonts w:hint="eastAsia" w:ascii="宋体" w:hAnsi="宋体" w:eastAsia="宋体" w:cs="宋体"/>
          <w:color w:val="auto"/>
          <w:kern w:val="2"/>
          <w:sz w:val="21"/>
          <w:szCs w:val="22"/>
          <w:highlight w:val="none"/>
          <w:lang w:val="en-US" w:eastAsia="zh-CN"/>
        </w:rPr>
        <w:t>竞标人</w:t>
      </w:r>
      <w:r>
        <w:rPr>
          <w:rFonts w:hint="eastAsia" w:ascii="宋体" w:hAnsi="宋体" w:eastAsia="宋体" w:cs="宋体"/>
          <w:color w:val="auto"/>
          <w:kern w:val="2"/>
          <w:sz w:val="21"/>
          <w:szCs w:val="22"/>
          <w:highlight w:val="none"/>
        </w:rPr>
        <w:t>违约行为的同意或对本协议任何条款或权利的放弃，应以书面形式作出，且仅适用于该等放弃或同意中所明确的特定条款或权利。除前述已作出的同意和放弃外，</w:t>
      </w:r>
      <w:r>
        <w:rPr>
          <w:rFonts w:hint="eastAsia" w:ascii="宋体" w:hAnsi="宋体" w:eastAsia="宋体" w:cs="宋体"/>
          <w:color w:val="auto"/>
          <w:kern w:val="2"/>
          <w:sz w:val="21"/>
          <w:szCs w:val="22"/>
          <w:highlight w:val="none"/>
          <w:lang w:val="en-US" w:eastAsia="zh-CN"/>
        </w:rPr>
        <w:t>招标人</w:t>
      </w:r>
      <w:r>
        <w:rPr>
          <w:rFonts w:hint="eastAsia" w:ascii="宋体" w:hAnsi="宋体" w:eastAsia="宋体" w:cs="宋体"/>
          <w:color w:val="auto"/>
          <w:kern w:val="2"/>
          <w:sz w:val="21"/>
          <w:szCs w:val="22"/>
          <w:highlight w:val="none"/>
        </w:rPr>
        <w:t>未行使或迟延行使其在本协议项下的任何权利或救济不构成弃权；部分行使权利或救济亦不应阻碍其</w:t>
      </w:r>
      <w:r>
        <w:rPr>
          <w:rFonts w:hint="eastAsia" w:ascii="宋体" w:hAnsi="宋体" w:eastAsia="宋体" w:cs="宋体"/>
          <w:color w:val="auto"/>
          <w:kern w:val="2"/>
          <w:sz w:val="21"/>
          <w:szCs w:val="22"/>
          <w:highlight w:val="none"/>
          <w:lang w:eastAsia="zh-CN"/>
        </w:rPr>
        <w:t>行使其他</w:t>
      </w:r>
      <w:r>
        <w:rPr>
          <w:rFonts w:hint="eastAsia" w:ascii="宋体" w:hAnsi="宋体" w:eastAsia="宋体" w:cs="宋体"/>
          <w:color w:val="auto"/>
          <w:kern w:val="2"/>
          <w:sz w:val="21"/>
          <w:szCs w:val="22"/>
          <w:highlight w:val="none"/>
        </w:rPr>
        <w:t>权利或救济。</w:t>
      </w:r>
    </w:p>
    <w:p w14:paraId="48EC6B47">
      <w:pPr>
        <w:pStyle w:val="19"/>
        <w:numPr>
          <w:ilvl w:val="0"/>
          <w:numId w:val="12"/>
        </w:numPr>
        <w:spacing w:beforeAutospacing="0" w:afterAutospacing="0" w:line="360" w:lineRule="auto"/>
        <w:ind w:firstLine="480"/>
        <w:jc w:val="both"/>
        <w:outlineLvl w:val="2"/>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争议解决</w:t>
      </w:r>
    </w:p>
    <w:p w14:paraId="4EBE044F">
      <w:pPr>
        <w:pStyle w:val="19"/>
        <w:numPr>
          <w:ilvl w:val="-1"/>
          <w:numId w:val="0"/>
        </w:numPr>
        <w:spacing w:beforeAutospacing="0" w:afterAutospacing="0" w:line="360" w:lineRule="auto"/>
        <w:ind w:firstLine="420" w:firstLineChars="20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1.协议的订立、效力、解释及履行均适用中华人民共和国相关法律法规。</w:t>
      </w:r>
    </w:p>
    <w:p w14:paraId="028C0117">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2.因本协议产生的或与本合同有关的任何争议，应首先由本合同双方友好协商解决。协商不成时，任何一方均应向招标人所在地有管辖权的人民法院提起诉讼，以诉讼方式解决。守约方因维权所产生的诉讼费、律师费、保全费、鉴定费、差旅费等全部费用由违约方承担。</w:t>
      </w:r>
    </w:p>
    <w:p w14:paraId="0FE56B21">
      <w:pPr>
        <w:pStyle w:val="19"/>
        <w:spacing w:beforeAutospacing="0" w:afterAutospacing="0" w:line="360" w:lineRule="auto"/>
        <w:ind w:firstLine="480"/>
        <w:jc w:val="both"/>
        <w:outlineLvl w:val="2"/>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五、附则</w:t>
      </w:r>
    </w:p>
    <w:p w14:paraId="2D01245B">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1.本协议自双方加盖公司公章或合同专用章之日起生效。本协议项下保密义务的保密期限自本协议生效之日起开始，直至保密信息或资料为公众或行业所知悉之日；或乙方书面同意甲方不再履行保密义务之日，以较早发生者为准。</w:t>
      </w:r>
    </w:p>
    <w:p w14:paraId="6E1108BD">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2.未经双方事先书面同意，本协议不得进行任何修改、变更或补充。</w:t>
      </w:r>
    </w:p>
    <w:p w14:paraId="45383670">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3.如果本协议的任何条款被认定为无效、不合法或不可强制执行，该条款的无效性或不可执行性不得影响其他条款的效力。该条款应在上述范围内被视为不构成本协议的一部分，本协议其他条款的合法性、效力和可强制执行性均不受影响。</w:t>
      </w:r>
    </w:p>
    <w:p w14:paraId="5633150F">
      <w:pPr>
        <w:pStyle w:val="19"/>
        <w:spacing w:beforeAutospacing="0" w:afterAutospacing="0" w:line="360" w:lineRule="auto"/>
        <w:ind w:firstLine="480"/>
        <w:jc w:val="both"/>
        <w:outlineLvl w:val="1"/>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4.本协议一式【贰】份，双方各执【壹】份，具有同等法律效力。</w:t>
      </w:r>
    </w:p>
    <w:p w14:paraId="32835BF4">
      <w:pPr>
        <w:pStyle w:val="19"/>
        <w:spacing w:beforeAutospacing="0" w:afterAutospacing="0" w:line="360" w:lineRule="auto"/>
        <w:ind w:firstLine="420" w:firstLineChars="200"/>
        <w:jc w:val="both"/>
        <w:rPr>
          <w:rFonts w:hint="eastAsia" w:ascii="宋体" w:hAnsi="宋体" w:eastAsia="宋体" w:cs="宋体"/>
          <w:color w:val="auto"/>
          <w:kern w:val="2"/>
          <w:sz w:val="21"/>
          <w:szCs w:val="22"/>
          <w:highlight w:val="none"/>
        </w:rPr>
      </w:pPr>
    </w:p>
    <w:p w14:paraId="076AB691">
      <w:pPr>
        <w:pStyle w:val="19"/>
        <w:spacing w:beforeAutospacing="0" w:afterAutospacing="0" w:line="360" w:lineRule="auto"/>
        <w:ind w:firstLine="420" w:firstLineChars="200"/>
        <w:jc w:val="both"/>
        <w:rPr>
          <w:rFonts w:hint="eastAsia" w:ascii="宋体" w:hAnsi="宋体" w:eastAsia="宋体" w:cs="宋体"/>
          <w:color w:val="auto"/>
          <w:kern w:val="2"/>
          <w:sz w:val="21"/>
          <w:szCs w:val="22"/>
          <w:highlight w:val="none"/>
        </w:rPr>
      </w:pPr>
    </w:p>
    <w:p w14:paraId="32D97171">
      <w:pPr>
        <w:pStyle w:val="19"/>
        <w:spacing w:beforeAutospacing="0" w:afterAutospacing="0" w:line="360" w:lineRule="auto"/>
        <w:ind w:firstLine="480" w:firstLineChars="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 xml:space="preserve">招标人（盖章）：                    竞标人（盖章）：        </w:t>
      </w:r>
    </w:p>
    <w:p w14:paraId="0E31EA25">
      <w:pPr>
        <w:pStyle w:val="19"/>
        <w:spacing w:beforeAutospacing="0" w:afterAutospacing="0" w:line="360" w:lineRule="auto"/>
        <w:ind w:firstLine="480" w:firstLineChars="0"/>
        <w:jc w:val="both"/>
        <w:rPr>
          <w:rFonts w:hint="eastAsia" w:ascii="宋体" w:hAnsi="宋体" w:eastAsia="宋体" w:cs="宋体"/>
          <w:color w:val="auto"/>
          <w:kern w:val="2"/>
          <w:sz w:val="21"/>
          <w:szCs w:val="22"/>
          <w:highlight w:val="none"/>
        </w:rPr>
      </w:pPr>
    </w:p>
    <w:p w14:paraId="04BD131E">
      <w:pPr>
        <w:pStyle w:val="19"/>
        <w:spacing w:beforeAutospacing="0" w:afterAutospacing="0" w:line="360" w:lineRule="auto"/>
        <w:ind w:firstLine="480" w:firstLineChars="0"/>
        <w:jc w:val="both"/>
        <w:rPr>
          <w:rFonts w:hint="eastAsia" w:ascii="宋体" w:hAnsi="宋体" w:eastAsia="宋体" w:cs="宋体"/>
          <w:color w:val="auto"/>
          <w:kern w:val="2"/>
          <w:sz w:val="21"/>
          <w:szCs w:val="22"/>
          <w:highlight w:val="none"/>
        </w:rPr>
      </w:pPr>
    </w:p>
    <w:p w14:paraId="5EDA43E7">
      <w:pPr>
        <w:pStyle w:val="19"/>
        <w:spacing w:beforeAutospacing="0" w:afterAutospacing="0" w:line="360" w:lineRule="auto"/>
        <w:ind w:firstLine="0" w:firstLineChars="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eastAsia="zh-CN"/>
        </w:rPr>
        <w:t>【</w:t>
      </w:r>
      <w:r>
        <w:rPr>
          <w:rFonts w:hint="eastAsia" w:ascii="宋体" w:hAnsi="宋体" w:eastAsia="宋体" w:cs="宋体"/>
          <w:color w:val="auto"/>
          <w:kern w:val="2"/>
          <w:sz w:val="21"/>
          <w:szCs w:val="22"/>
          <w:highlight w:val="none"/>
          <w:lang w:val="en-US" w:eastAsia="zh-CN"/>
        </w:rPr>
        <w:t xml:space="preserve">       </w:t>
      </w:r>
      <w:r>
        <w:rPr>
          <w:rFonts w:hint="eastAsia" w:ascii="宋体" w:hAnsi="宋体" w:eastAsia="宋体" w:cs="宋体"/>
          <w:color w:val="auto"/>
          <w:kern w:val="2"/>
          <w:sz w:val="21"/>
          <w:szCs w:val="22"/>
          <w:highlight w:val="none"/>
          <w:lang w:eastAsia="zh-CN"/>
        </w:rPr>
        <w:t>】</w:t>
      </w:r>
      <w:r>
        <w:rPr>
          <w:rFonts w:hint="eastAsia" w:ascii="宋体" w:hAnsi="宋体" w:eastAsia="宋体" w:cs="宋体"/>
          <w:color w:val="auto"/>
          <w:kern w:val="2"/>
          <w:sz w:val="21"/>
          <w:szCs w:val="22"/>
          <w:highlight w:val="none"/>
          <w:lang w:val="en-US" w:eastAsia="zh-CN"/>
        </w:rPr>
        <w:t xml:space="preserve">年【】月【】日                </w:t>
      </w:r>
      <w:r>
        <w:rPr>
          <w:rFonts w:hint="eastAsia" w:ascii="宋体" w:hAnsi="宋体" w:eastAsia="宋体" w:cs="宋体"/>
          <w:color w:val="auto"/>
          <w:kern w:val="2"/>
          <w:sz w:val="21"/>
          <w:szCs w:val="22"/>
          <w:highlight w:val="none"/>
          <w:lang w:eastAsia="zh-CN"/>
        </w:rPr>
        <w:t>【</w:t>
      </w:r>
      <w:r>
        <w:rPr>
          <w:rFonts w:hint="eastAsia" w:ascii="宋体" w:hAnsi="宋体" w:eastAsia="宋体" w:cs="宋体"/>
          <w:color w:val="auto"/>
          <w:kern w:val="2"/>
          <w:sz w:val="21"/>
          <w:szCs w:val="22"/>
          <w:highlight w:val="none"/>
          <w:lang w:val="en-US" w:eastAsia="zh-CN"/>
        </w:rPr>
        <w:t xml:space="preserve">       </w:t>
      </w:r>
      <w:r>
        <w:rPr>
          <w:rFonts w:hint="eastAsia" w:ascii="宋体" w:hAnsi="宋体" w:eastAsia="宋体" w:cs="宋体"/>
          <w:color w:val="auto"/>
          <w:kern w:val="2"/>
          <w:sz w:val="21"/>
          <w:szCs w:val="22"/>
          <w:highlight w:val="none"/>
          <w:lang w:eastAsia="zh-CN"/>
        </w:rPr>
        <w:t>】</w:t>
      </w:r>
      <w:r>
        <w:rPr>
          <w:rFonts w:hint="eastAsia" w:ascii="宋体" w:hAnsi="宋体" w:eastAsia="宋体" w:cs="宋体"/>
          <w:color w:val="auto"/>
          <w:kern w:val="2"/>
          <w:sz w:val="21"/>
          <w:szCs w:val="22"/>
          <w:highlight w:val="none"/>
          <w:lang w:val="en-US" w:eastAsia="zh-CN"/>
        </w:rPr>
        <w:t>年【】月【】日</w:t>
      </w:r>
    </w:p>
    <w:p w14:paraId="606EBC7F">
      <w:pPr>
        <w:spacing w:line="288" w:lineRule="auto"/>
        <w:jc w:val="center"/>
        <w:outlineLvl w:val="9"/>
        <w:rPr>
          <w:rFonts w:hint="eastAsia" w:ascii="宋体" w:hAnsi="宋体" w:eastAsia="宋体" w:cs="宋体"/>
          <w:highlight w:val="none"/>
        </w:rPr>
      </w:pPr>
    </w:p>
    <w:p w14:paraId="609F7611">
      <w:pPr>
        <w:spacing w:line="288" w:lineRule="auto"/>
        <w:jc w:val="center"/>
        <w:outlineLvl w:val="9"/>
        <w:rPr>
          <w:rFonts w:hint="eastAsia" w:ascii="宋体" w:hAnsi="宋体" w:eastAsia="宋体" w:cs="宋体"/>
          <w:highlight w:val="none"/>
        </w:rPr>
      </w:pPr>
    </w:p>
    <w:p w14:paraId="250FFD84">
      <w:pPr>
        <w:spacing w:line="288" w:lineRule="auto"/>
        <w:jc w:val="center"/>
        <w:outlineLvl w:val="9"/>
        <w:rPr>
          <w:rFonts w:hint="eastAsia" w:ascii="宋体" w:hAnsi="宋体" w:eastAsia="宋体" w:cs="宋体"/>
          <w:highlight w:val="none"/>
        </w:rPr>
      </w:pPr>
    </w:p>
    <w:p w14:paraId="3DAC323D">
      <w:pPr>
        <w:spacing w:line="288" w:lineRule="auto"/>
        <w:jc w:val="center"/>
        <w:outlineLvl w:val="9"/>
        <w:rPr>
          <w:rFonts w:hint="eastAsia" w:ascii="宋体" w:hAnsi="宋体" w:eastAsia="宋体" w:cs="宋体"/>
          <w:highlight w:val="none"/>
        </w:rPr>
      </w:pPr>
    </w:p>
    <w:p w14:paraId="4CBA0613">
      <w:pPr>
        <w:spacing w:line="288" w:lineRule="auto"/>
        <w:jc w:val="center"/>
        <w:outlineLvl w:val="9"/>
        <w:rPr>
          <w:rFonts w:hint="eastAsia" w:ascii="宋体" w:hAnsi="宋体" w:eastAsia="宋体" w:cs="宋体"/>
          <w:highlight w:val="none"/>
        </w:rPr>
      </w:pPr>
    </w:p>
    <w:p w14:paraId="163187B2">
      <w:pPr>
        <w:spacing w:line="288" w:lineRule="auto"/>
        <w:jc w:val="center"/>
        <w:outlineLvl w:val="9"/>
        <w:rPr>
          <w:rFonts w:hint="eastAsia" w:ascii="宋体" w:hAnsi="宋体" w:eastAsia="宋体" w:cs="宋体"/>
          <w:highlight w:val="none"/>
        </w:rPr>
      </w:pPr>
    </w:p>
    <w:p w14:paraId="3FF56229">
      <w:pPr>
        <w:spacing w:line="288" w:lineRule="auto"/>
        <w:jc w:val="center"/>
        <w:outlineLvl w:val="9"/>
        <w:rPr>
          <w:rFonts w:hint="eastAsia" w:ascii="宋体" w:hAnsi="宋体" w:eastAsia="宋体" w:cs="宋体"/>
          <w:highlight w:val="none"/>
        </w:rPr>
      </w:pPr>
    </w:p>
    <w:p w14:paraId="6CAED652">
      <w:pPr>
        <w:spacing w:line="288" w:lineRule="auto"/>
        <w:jc w:val="center"/>
        <w:outlineLvl w:val="9"/>
        <w:rPr>
          <w:rFonts w:hint="eastAsia" w:ascii="宋体" w:hAnsi="宋体" w:eastAsia="宋体" w:cs="宋体"/>
          <w:highlight w:val="none"/>
        </w:rPr>
      </w:pPr>
    </w:p>
    <w:p w14:paraId="5252E7B7">
      <w:pPr>
        <w:spacing w:line="288" w:lineRule="auto"/>
        <w:jc w:val="center"/>
        <w:outlineLvl w:val="9"/>
        <w:rPr>
          <w:rFonts w:hint="eastAsia" w:ascii="宋体" w:hAnsi="宋体" w:eastAsia="宋体" w:cs="宋体"/>
          <w:highlight w:val="none"/>
        </w:rPr>
      </w:pPr>
    </w:p>
    <w:p w14:paraId="528F7B45">
      <w:pPr>
        <w:spacing w:line="288" w:lineRule="auto"/>
        <w:jc w:val="center"/>
        <w:outlineLvl w:val="9"/>
        <w:rPr>
          <w:rFonts w:hint="eastAsia" w:ascii="宋体" w:hAnsi="宋体" w:eastAsia="宋体" w:cs="宋体"/>
          <w:highlight w:val="none"/>
        </w:rPr>
      </w:pPr>
    </w:p>
    <w:p w14:paraId="371C2DAD">
      <w:pPr>
        <w:spacing w:line="288" w:lineRule="auto"/>
        <w:jc w:val="center"/>
        <w:outlineLvl w:val="9"/>
        <w:rPr>
          <w:rFonts w:hint="eastAsia" w:ascii="宋体" w:hAnsi="宋体" w:eastAsia="宋体" w:cs="宋体"/>
          <w:highlight w:val="none"/>
        </w:rPr>
      </w:pPr>
    </w:p>
    <w:p w14:paraId="02240657">
      <w:pPr>
        <w:spacing w:line="288" w:lineRule="auto"/>
        <w:jc w:val="center"/>
        <w:outlineLvl w:val="9"/>
        <w:rPr>
          <w:rFonts w:hint="eastAsia" w:ascii="宋体" w:hAnsi="宋体" w:eastAsia="宋体" w:cs="宋体"/>
          <w:highlight w:val="none"/>
        </w:rPr>
      </w:pPr>
    </w:p>
    <w:p w14:paraId="0A40EE01">
      <w:pPr>
        <w:spacing w:line="288" w:lineRule="auto"/>
        <w:jc w:val="center"/>
        <w:outlineLvl w:val="9"/>
        <w:rPr>
          <w:rFonts w:hint="eastAsia" w:ascii="宋体" w:hAnsi="宋体" w:eastAsia="宋体" w:cs="宋体"/>
          <w:highlight w:val="none"/>
        </w:rPr>
      </w:pPr>
    </w:p>
    <w:p w14:paraId="2ED7E5A0">
      <w:pPr>
        <w:spacing w:line="288" w:lineRule="auto"/>
        <w:jc w:val="center"/>
        <w:outlineLvl w:val="9"/>
        <w:rPr>
          <w:rFonts w:hint="eastAsia" w:ascii="宋体" w:hAnsi="宋体" w:eastAsia="宋体" w:cs="宋体"/>
          <w:highlight w:val="none"/>
        </w:rPr>
      </w:pPr>
    </w:p>
    <w:p w14:paraId="2E99B4C7">
      <w:pPr>
        <w:spacing w:line="288" w:lineRule="auto"/>
        <w:jc w:val="center"/>
        <w:outlineLvl w:val="9"/>
        <w:rPr>
          <w:rFonts w:hint="eastAsia" w:ascii="宋体" w:hAnsi="宋体" w:eastAsia="宋体" w:cs="宋体"/>
          <w:highlight w:val="none"/>
        </w:rPr>
      </w:pPr>
    </w:p>
    <w:p w14:paraId="79DB985A">
      <w:pPr>
        <w:pStyle w:val="30"/>
        <w:ind w:firstLine="0" w:firstLineChars="0"/>
        <w:outlineLvl w:val="2"/>
        <w:rPr>
          <w:rFonts w:hint="default" w:ascii="宋体" w:hAnsi="宋体" w:eastAsia="宋体" w:cs="宋体"/>
          <w:highlight w:val="none"/>
          <w:lang w:val="en-US" w:eastAsia="zh-CN"/>
        </w:rPr>
      </w:pPr>
      <w:r>
        <w:rPr>
          <w:rFonts w:hint="eastAsia" w:ascii="宋体" w:hAnsi="宋体" w:cs="宋体"/>
          <w:highlight w:val="none"/>
          <w:lang w:val="en-US" w:eastAsia="zh-CN"/>
        </w:rPr>
        <w:t>*</w:t>
      </w:r>
      <w:r>
        <w:rPr>
          <w:rFonts w:hint="eastAsia" w:ascii="宋体" w:hAnsi="宋体" w:eastAsia="宋体" w:cs="宋体"/>
          <w:highlight w:val="none"/>
        </w:rPr>
        <w:t>附件8</w:t>
      </w:r>
      <w:r>
        <w:rPr>
          <w:rFonts w:hint="eastAsia" w:ascii="宋体" w:hAnsi="宋体" w:cs="宋体"/>
          <w:highlight w:val="none"/>
          <w:lang w:val="en-US" w:eastAsia="zh-CN"/>
        </w:rPr>
        <w:t xml:space="preserve"> 合同模板</w:t>
      </w:r>
    </w:p>
    <w:p w14:paraId="72D149FA">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【XX】采购合同</w:t>
      </w:r>
    </w:p>
    <w:tbl>
      <w:tblPr>
        <w:tblStyle w:val="21"/>
        <w:tblpPr w:leftFromText="180" w:rightFromText="180" w:vertAnchor="text" w:horzAnchor="page" w:tblpX="7288" w:tblpY="2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3"/>
        <w:gridCol w:w="2306"/>
      </w:tblGrid>
      <w:tr w14:paraId="06718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1593" w:type="dxa"/>
          </w:tcPr>
          <w:p w14:paraId="12833EB4">
            <w:pPr>
              <w:keepNext w:val="0"/>
              <w:keepLines w:val="0"/>
              <w:pageBreakBefore w:val="0"/>
              <w:widowControl w:val="0"/>
              <w:numPr>
                <w:ilvl w:val="0"/>
                <w:numId w:val="0"/>
              </w:numPr>
              <w:tabs>
                <w:tab w:val="left" w:pos="692"/>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买方合同编号：</w:t>
            </w:r>
          </w:p>
        </w:tc>
        <w:tc>
          <w:tcPr>
            <w:tcW w:w="2306" w:type="dxa"/>
          </w:tcPr>
          <w:p w14:paraId="713BCEF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r>
      <w:tr w14:paraId="184D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593" w:type="dxa"/>
          </w:tcPr>
          <w:p w14:paraId="132FFB9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卖方合同编号：</w:t>
            </w:r>
          </w:p>
        </w:tc>
        <w:tc>
          <w:tcPr>
            <w:tcW w:w="2306" w:type="dxa"/>
          </w:tcPr>
          <w:p w14:paraId="1F19353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r>
      <w:tr w14:paraId="48D3D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1593" w:type="dxa"/>
          </w:tcPr>
          <w:p w14:paraId="399504F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签订时间：</w:t>
            </w:r>
          </w:p>
        </w:tc>
        <w:tc>
          <w:tcPr>
            <w:tcW w:w="2306" w:type="dxa"/>
          </w:tcPr>
          <w:p w14:paraId="61EF7BE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【】年【】月【】日</w:t>
            </w:r>
          </w:p>
        </w:tc>
      </w:tr>
      <w:tr w14:paraId="753ED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593" w:type="dxa"/>
          </w:tcPr>
          <w:p w14:paraId="114F4A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签订地点：</w:t>
            </w:r>
          </w:p>
        </w:tc>
        <w:tc>
          <w:tcPr>
            <w:tcW w:w="2306" w:type="dxa"/>
          </w:tcPr>
          <w:p w14:paraId="40D9B16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眉山市丹棱县</w:t>
            </w:r>
          </w:p>
        </w:tc>
      </w:tr>
    </w:tbl>
    <w:p w14:paraId="23BD987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sz w:val="24"/>
          <w:szCs w:val="24"/>
          <w:lang w:val="en-US" w:eastAsia="zh-CN"/>
        </w:rPr>
      </w:pPr>
    </w:p>
    <w:p w14:paraId="38F79E2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sz w:val="24"/>
          <w:szCs w:val="24"/>
          <w:lang w:val="en-US" w:eastAsia="zh-CN"/>
        </w:rPr>
      </w:pPr>
    </w:p>
    <w:p w14:paraId="2520601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sz w:val="24"/>
          <w:szCs w:val="24"/>
          <w:lang w:val="en-US" w:eastAsia="zh-CN"/>
        </w:rPr>
      </w:pPr>
    </w:p>
    <w:tbl>
      <w:tblPr>
        <w:tblStyle w:val="21"/>
        <w:tblpPr w:leftFromText="180" w:rightFromText="180" w:vertAnchor="text" w:horzAnchor="page" w:tblpX="1801" w:tblpY="293"/>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gridCol w:w="4740"/>
      </w:tblGrid>
      <w:tr w14:paraId="71EF0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487318B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买方：眉山琏升光伏科技有限公司</w:t>
            </w:r>
          </w:p>
        </w:tc>
        <w:tc>
          <w:tcPr>
            <w:tcW w:w="4740" w:type="dxa"/>
          </w:tcPr>
          <w:p w14:paraId="3A90EC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卖方：【】</w:t>
            </w:r>
          </w:p>
        </w:tc>
      </w:tr>
      <w:tr w14:paraId="21688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531D82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法定代表人：蒋万昌</w:t>
            </w:r>
          </w:p>
        </w:tc>
        <w:tc>
          <w:tcPr>
            <w:tcW w:w="4740" w:type="dxa"/>
          </w:tcPr>
          <w:p w14:paraId="480533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w:t>
            </w:r>
          </w:p>
        </w:tc>
      </w:tr>
      <w:tr w14:paraId="5C4DA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16CB1E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送达地址：【】</w:t>
            </w:r>
          </w:p>
        </w:tc>
        <w:tc>
          <w:tcPr>
            <w:tcW w:w="4740" w:type="dxa"/>
          </w:tcPr>
          <w:p w14:paraId="56D96D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送达地址：【】</w:t>
            </w:r>
          </w:p>
        </w:tc>
      </w:tr>
      <w:tr w14:paraId="5E434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2FC198C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w:t>
            </w:r>
          </w:p>
        </w:tc>
        <w:tc>
          <w:tcPr>
            <w:tcW w:w="4740" w:type="dxa"/>
          </w:tcPr>
          <w:p w14:paraId="5E1F89F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w:t>
            </w:r>
          </w:p>
        </w:tc>
      </w:tr>
      <w:tr w14:paraId="5ED12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684429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电子邮件：【】</w:t>
            </w:r>
          </w:p>
        </w:tc>
        <w:tc>
          <w:tcPr>
            <w:tcW w:w="4740" w:type="dxa"/>
          </w:tcPr>
          <w:p w14:paraId="27FF649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电子邮件：【】</w:t>
            </w:r>
          </w:p>
        </w:tc>
      </w:tr>
    </w:tbl>
    <w:p w14:paraId="52F3CBD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val="en-US" w:eastAsia="zh-CN"/>
        </w:rPr>
      </w:pPr>
    </w:p>
    <w:p w14:paraId="053071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为了规范买卖双方的权利义务，根据《中华人民共和国民法典》及相关法律、法规和规章的规定，经买卖双方自愿、友好、充分协商，特订立本合同，以资共同信守。</w:t>
      </w:r>
    </w:p>
    <w:p w14:paraId="22F196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一、专用条款</w:t>
      </w:r>
    </w:p>
    <w:p w14:paraId="4A034A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第一条 标的名称、规格型号、单位、数量、单价、总金额</w:t>
      </w:r>
    </w:p>
    <w:tbl>
      <w:tblPr>
        <w:tblStyle w:val="20"/>
        <w:tblW w:w="9924" w:type="dxa"/>
        <w:tblInd w:w="-424" w:type="dxa"/>
        <w:tblLayout w:type="fixed"/>
        <w:tblCellMar>
          <w:top w:w="0" w:type="dxa"/>
          <w:left w:w="108" w:type="dxa"/>
          <w:bottom w:w="0" w:type="dxa"/>
          <w:right w:w="108" w:type="dxa"/>
        </w:tblCellMar>
      </w:tblPr>
      <w:tblGrid>
        <w:gridCol w:w="1844"/>
        <w:gridCol w:w="3685"/>
        <w:gridCol w:w="709"/>
        <w:gridCol w:w="709"/>
        <w:gridCol w:w="1417"/>
        <w:gridCol w:w="1560"/>
      </w:tblGrid>
      <w:tr w14:paraId="6F9D2119">
        <w:tblPrEx>
          <w:tblCellMar>
            <w:top w:w="0" w:type="dxa"/>
            <w:left w:w="108" w:type="dxa"/>
            <w:bottom w:w="0" w:type="dxa"/>
            <w:right w:w="108" w:type="dxa"/>
          </w:tblCellMar>
        </w:tblPrEx>
        <w:trPr>
          <w:trHeight w:val="420" w:hRule="atLeast"/>
        </w:trPr>
        <w:tc>
          <w:tcPr>
            <w:tcW w:w="1844" w:type="dxa"/>
            <w:tcBorders>
              <w:top w:val="single" w:color="auto" w:sz="8" w:space="0"/>
              <w:left w:val="single" w:color="auto" w:sz="8" w:space="0"/>
              <w:bottom w:val="single" w:color="auto" w:sz="4" w:space="0"/>
              <w:right w:val="single" w:color="auto" w:sz="4" w:space="0"/>
            </w:tcBorders>
            <w:noWrap w:val="0"/>
            <w:vAlign w:val="center"/>
          </w:tcPr>
          <w:p w14:paraId="5781BB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品名</w:t>
            </w:r>
          </w:p>
        </w:tc>
        <w:tc>
          <w:tcPr>
            <w:tcW w:w="3685" w:type="dxa"/>
            <w:tcBorders>
              <w:top w:val="single" w:color="auto" w:sz="8" w:space="0"/>
              <w:left w:val="nil"/>
              <w:bottom w:val="single" w:color="auto" w:sz="4" w:space="0"/>
              <w:right w:val="single" w:color="auto" w:sz="4" w:space="0"/>
            </w:tcBorders>
            <w:noWrap w:val="0"/>
            <w:vAlign w:val="center"/>
          </w:tcPr>
          <w:p w14:paraId="1FBCE5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规格型号</w:t>
            </w:r>
          </w:p>
        </w:tc>
        <w:tc>
          <w:tcPr>
            <w:tcW w:w="709" w:type="dxa"/>
            <w:tcBorders>
              <w:top w:val="single" w:color="auto" w:sz="8" w:space="0"/>
              <w:left w:val="nil"/>
              <w:bottom w:val="single" w:color="auto" w:sz="4" w:space="0"/>
              <w:right w:val="single" w:color="auto" w:sz="4" w:space="0"/>
            </w:tcBorders>
            <w:noWrap w:val="0"/>
            <w:vAlign w:val="center"/>
          </w:tcPr>
          <w:p w14:paraId="3F0EC9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709" w:type="dxa"/>
            <w:tcBorders>
              <w:top w:val="single" w:color="auto" w:sz="8" w:space="0"/>
              <w:left w:val="nil"/>
              <w:bottom w:val="single" w:color="auto" w:sz="4" w:space="0"/>
              <w:right w:val="single" w:color="auto" w:sz="4" w:space="0"/>
            </w:tcBorders>
            <w:noWrap w:val="0"/>
            <w:vAlign w:val="center"/>
          </w:tcPr>
          <w:p w14:paraId="116BF9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1417" w:type="dxa"/>
            <w:tcBorders>
              <w:top w:val="single" w:color="auto" w:sz="8" w:space="0"/>
              <w:left w:val="nil"/>
              <w:bottom w:val="single" w:color="auto" w:sz="4" w:space="0"/>
              <w:right w:val="single" w:color="auto" w:sz="4" w:space="0"/>
            </w:tcBorders>
            <w:noWrap w:val="0"/>
            <w:vAlign w:val="center"/>
          </w:tcPr>
          <w:p w14:paraId="79C859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单价（CNY）</w:t>
            </w:r>
          </w:p>
        </w:tc>
        <w:tc>
          <w:tcPr>
            <w:tcW w:w="1560" w:type="dxa"/>
            <w:tcBorders>
              <w:top w:val="single" w:color="auto" w:sz="8" w:space="0"/>
              <w:left w:val="nil"/>
              <w:bottom w:val="single" w:color="auto" w:sz="4" w:space="0"/>
              <w:right w:val="single" w:color="auto" w:sz="8" w:space="0"/>
            </w:tcBorders>
            <w:noWrap w:val="0"/>
            <w:vAlign w:val="center"/>
          </w:tcPr>
          <w:p w14:paraId="40BC87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总金额(CNY)</w:t>
            </w:r>
          </w:p>
        </w:tc>
      </w:tr>
      <w:tr w14:paraId="6C2ACD46">
        <w:tblPrEx>
          <w:tblCellMar>
            <w:top w:w="0" w:type="dxa"/>
            <w:left w:w="108" w:type="dxa"/>
            <w:bottom w:w="0" w:type="dxa"/>
            <w:right w:w="108" w:type="dxa"/>
          </w:tblCellMar>
        </w:tblPrEx>
        <w:trPr>
          <w:trHeight w:val="369" w:hRule="atLeast"/>
        </w:trPr>
        <w:tc>
          <w:tcPr>
            <w:tcW w:w="1844" w:type="dxa"/>
            <w:tcBorders>
              <w:top w:val="nil"/>
              <w:left w:val="single" w:color="auto" w:sz="8" w:space="0"/>
              <w:bottom w:val="single" w:color="auto" w:sz="4" w:space="0"/>
              <w:right w:val="single" w:color="auto" w:sz="4" w:space="0"/>
            </w:tcBorders>
            <w:noWrap w:val="0"/>
            <w:vAlign w:val="center"/>
          </w:tcPr>
          <w:p w14:paraId="5E398D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p>
        </w:tc>
        <w:tc>
          <w:tcPr>
            <w:tcW w:w="3685" w:type="dxa"/>
            <w:tcBorders>
              <w:top w:val="nil"/>
              <w:left w:val="nil"/>
              <w:bottom w:val="single" w:color="auto" w:sz="4" w:space="0"/>
              <w:right w:val="single" w:color="auto" w:sz="4" w:space="0"/>
            </w:tcBorders>
            <w:noWrap w:val="0"/>
            <w:vAlign w:val="center"/>
          </w:tcPr>
          <w:p w14:paraId="21FBA3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p>
        </w:tc>
        <w:tc>
          <w:tcPr>
            <w:tcW w:w="709" w:type="dxa"/>
            <w:tcBorders>
              <w:top w:val="nil"/>
              <w:left w:val="nil"/>
              <w:bottom w:val="single" w:color="auto" w:sz="4" w:space="0"/>
              <w:right w:val="single" w:color="auto" w:sz="4" w:space="0"/>
            </w:tcBorders>
            <w:noWrap w:val="0"/>
            <w:vAlign w:val="center"/>
          </w:tcPr>
          <w:p w14:paraId="594C41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p>
        </w:tc>
        <w:tc>
          <w:tcPr>
            <w:tcW w:w="709" w:type="dxa"/>
            <w:tcBorders>
              <w:top w:val="nil"/>
              <w:left w:val="nil"/>
              <w:bottom w:val="single" w:color="auto" w:sz="4" w:space="0"/>
              <w:right w:val="single" w:color="auto" w:sz="4" w:space="0"/>
            </w:tcBorders>
            <w:noWrap w:val="0"/>
            <w:vAlign w:val="center"/>
          </w:tcPr>
          <w:p w14:paraId="700C52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p>
        </w:tc>
        <w:tc>
          <w:tcPr>
            <w:tcW w:w="1417" w:type="dxa"/>
            <w:tcBorders>
              <w:top w:val="nil"/>
              <w:left w:val="nil"/>
              <w:bottom w:val="single" w:color="auto" w:sz="4" w:space="0"/>
              <w:right w:val="single" w:color="auto" w:sz="4" w:space="0"/>
            </w:tcBorders>
            <w:noWrap w:val="0"/>
            <w:vAlign w:val="center"/>
          </w:tcPr>
          <w:p w14:paraId="306E2D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p>
        </w:tc>
        <w:tc>
          <w:tcPr>
            <w:tcW w:w="1560" w:type="dxa"/>
            <w:tcBorders>
              <w:top w:val="nil"/>
              <w:left w:val="nil"/>
              <w:bottom w:val="single" w:color="auto" w:sz="4" w:space="0"/>
              <w:right w:val="single" w:color="auto" w:sz="8" w:space="0"/>
            </w:tcBorders>
            <w:noWrap w:val="0"/>
            <w:vAlign w:val="center"/>
          </w:tcPr>
          <w:p w14:paraId="018753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p>
        </w:tc>
      </w:tr>
      <w:tr w14:paraId="5D79CBE8">
        <w:tblPrEx>
          <w:tblCellMar>
            <w:top w:w="0" w:type="dxa"/>
            <w:left w:w="108" w:type="dxa"/>
            <w:bottom w:w="0" w:type="dxa"/>
            <w:right w:w="108" w:type="dxa"/>
          </w:tblCellMar>
        </w:tblPrEx>
        <w:trPr>
          <w:trHeight w:val="369" w:hRule="atLeast"/>
        </w:trPr>
        <w:tc>
          <w:tcPr>
            <w:tcW w:w="1844" w:type="dxa"/>
            <w:tcBorders>
              <w:top w:val="nil"/>
              <w:left w:val="single" w:color="auto" w:sz="8" w:space="0"/>
              <w:bottom w:val="single" w:color="auto" w:sz="4" w:space="0"/>
              <w:right w:val="single" w:color="auto" w:sz="4" w:space="0"/>
            </w:tcBorders>
            <w:noWrap w:val="0"/>
            <w:vAlign w:val="center"/>
          </w:tcPr>
          <w:p w14:paraId="7D1EDE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含税合计：</w:t>
            </w:r>
          </w:p>
        </w:tc>
        <w:tc>
          <w:tcPr>
            <w:tcW w:w="8080" w:type="dxa"/>
            <w:gridSpan w:val="5"/>
            <w:tcBorders>
              <w:top w:val="nil"/>
              <w:left w:val="nil"/>
              <w:bottom w:val="single" w:color="auto" w:sz="4" w:space="0"/>
              <w:right w:val="single" w:color="auto" w:sz="8" w:space="0"/>
            </w:tcBorders>
            <w:noWrap w:val="0"/>
            <w:vAlign w:val="center"/>
          </w:tcPr>
          <w:p w14:paraId="317B76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w:t>
            </w:r>
          </w:p>
        </w:tc>
      </w:tr>
      <w:tr w14:paraId="28E24BD4">
        <w:tblPrEx>
          <w:tblCellMar>
            <w:top w:w="0" w:type="dxa"/>
            <w:left w:w="108" w:type="dxa"/>
            <w:bottom w:w="0" w:type="dxa"/>
            <w:right w:w="108" w:type="dxa"/>
          </w:tblCellMar>
        </w:tblPrEx>
        <w:trPr>
          <w:trHeight w:val="865" w:hRule="atLeast"/>
        </w:trPr>
        <w:tc>
          <w:tcPr>
            <w:tcW w:w="9924" w:type="dxa"/>
            <w:gridSpan w:val="6"/>
            <w:tcBorders>
              <w:top w:val="single" w:color="auto" w:sz="4" w:space="0"/>
              <w:left w:val="single" w:color="auto" w:sz="8" w:space="0"/>
              <w:bottom w:val="single" w:color="auto" w:sz="4" w:space="0"/>
              <w:right w:val="single" w:color="000000" w:sz="8" w:space="0"/>
            </w:tcBorders>
            <w:noWrap w:val="0"/>
            <w:vAlign w:val="center"/>
          </w:tcPr>
          <w:p w14:paraId="6AEDFB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共计（大写）：【】，币别：人民币；其中不含税金额：【】元；税金：【】元；税率：【】%。</w:t>
            </w:r>
          </w:p>
        </w:tc>
      </w:tr>
      <w:tr w14:paraId="22587688">
        <w:tblPrEx>
          <w:tblCellMar>
            <w:top w:w="0" w:type="dxa"/>
            <w:left w:w="108" w:type="dxa"/>
            <w:bottom w:w="0" w:type="dxa"/>
            <w:right w:w="108" w:type="dxa"/>
          </w:tblCellMar>
        </w:tblPrEx>
        <w:trPr>
          <w:trHeight w:val="415" w:hRule="atLeast"/>
        </w:trPr>
        <w:tc>
          <w:tcPr>
            <w:tcW w:w="9924" w:type="dxa"/>
            <w:gridSpan w:val="6"/>
            <w:tcBorders>
              <w:top w:val="single" w:color="auto" w:sz="4" w:space="0"/>
              <w:left w:val="single" w:color="auto" w:sz="8" w:space="0"/>
              <w:bottom w:val="single" w:color="auto" w:sz="4" w:space="0"/>
              <w:right w:val="single" w:color="000000" w:sz="8" w:space="0"/>
            </w:tcBorders>
            <w:noWrap w:val="0"/>
            <w:vAlign w:val="center"/>
          </w:tcPr>
          <w:p w14:paraId="6550A7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注：</w:t>
            </w:r>
          </w:p>
          <w:p w14:paraId="21A8A1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1）上述设备总价为包干总价，已经包含产品出厂费、包装费、运输费、搬运费、安装调试费、装卸费、培训费及税金等一切费用，买方不再另行支付任何费用。</w:t>
            </w:r>
          </w:p>
          <w:p w14:paraId="3B51EF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本合同总价款为含税总价，税率以增值税【】%来计算。如遇国家税率调整，针对未开具或未足额开具增值税专用发票的合同总价款中不含税价款不变，税额相应调整，以卖方开具的发票税率为依据，进行合同总价调整并实际结算；买方多支付的款项，卖方予以返还，或者在剩余货款中予以扣除；本合同结算总价计算公式：结算总价款=（1+实际开具发票税率）*本合同总价款/(1+合同约定税率%)。</w:t>
            </w:r>
          </w:p>
          <w:p w14:paraId="4BD9D2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3）卖方需向买方提供与本合同设备有关附属设施，免费提供合同约定质保期内的维修保养、服务。</w:t>
            </w:r>
          </w:p>
        </w:tc>
      </w:tr>
    </w:tbl>
    <w:p w14:paraId="561C38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第二条 设备交付及货款结算</w:t>
      </w:r>
    </w:p>
    <w:p w14:paraId="070F44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2.1买卖双方正式签订合同后，卖方应于【】年【】月【】日前将全部设备交至买方指定地点并初验合格；并于【】年【】月【】日前安装调试完毕达到验收合格标准。</w:t>
      </w:r>
    </w:p>
    <w:p w14:paraId="1BD195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2.2设备接货单位及地址：眉山琏升光伏科技有限公司，地址：【】，联系电话：【】，联系人：【】。</w:t>
      </w:r>
    </w:p>
    <w:p w14:paraId="7059E7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2.3运输方式：货车运输，包装费、运输费用和保险费用均由卖方承担；</w:t>
      </w:r>
    </w:p>
    <w:p w14:paraId="5923AD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2.4货款的结算： </w:t>
      </w:r>
    </w:p>
    <w:p w14:paraId="5F3C9C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2.4.1付款方式：</w:t>
      </w:r>
    </w:p>
    <w:p w14:paraId="6B51F2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第一笔 预付款：合同总金额【20】%，即人民币【】元（大写：【】）于合同签订并生效且买方收到卖方履约保证金或履约保函后【】周内，以【】的方式支付；</w:t>
      </w:r>
    </w:p>
    <w:p w14:paraId="0A251D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第二笔 到货款：合同总金额【40】%，即人民币【】元（大写：【】）于全部货到买方指定地点且初验合格后【】周内，以【】的方式支付；</w:t>
      </w:r>
    </w:p>
    <w:p w14:paraId="1261B6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第三笔 验收款：合同总金额【30】%，即人民币【】元（大写：【】）于设备安装调试完成并验收合格（即双方共同签署《眉山琏升光伏科技有限公司设备验收合格单》）后【】周内，以【】的方式支付；</w:t>
      </w:r>
    </w:p>
    <w:p w14:paraId="647C08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第四笔 质保款：合同总金额【10】%，即人民币【】元（大写：【】）于质保期到期且无质量问题后【】周内，以【】的方式支付。</w:t>
      </w:r>
    </w:p>
    <w:p w14:paraId="40712E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2.4.2 卖方收款账户信息</w:t>
      </w:r>
    </w:p>
    <w:p w14:paraId="72D188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开户名：【】                   </w:t>
      </w:r>
    </w:p>
    <w:p w14:paraId="310FB6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开户行 ：【】                                        </w:t>
      </w:r>
    </w:p>
    <w:p w14:paraId="7C72FA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账号：【】                        </w:t>
      </w:r>
    </w:p>
    <w:p w14:paraId="3B0A61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2.4.3买方支付任意一笔款项前，卖方须向买方开具合法、等额的增值税专用发票，且买方支付到货款前，卖方累计开票金额应为合同总金额的100%。若卖方逾期未提供发票或提供发票不符合买方要求，买方有权拒绝支付相应款项，且不承担违约责任，卖方仍应按合同约定履行义务。如造成买方损失，卖方对此损失应承担损害赔偿责任。</w:t>
      </w:r>
    </w:p>
    <w:p w14:paraId="2B563E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第三条 设备的质量标准、质保及损害赔偿</w:t>
      </w:r>
    </w:p>
    <w:p w14:paraId="7F9FDC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设备的技术标准（包括质量要求）按照设备的技术条款及检验标准执行（详见附件【】），若技术条款或检验标准未明确的，则按国家标准执行，无国家标准的按行业标准、团体标准执行，内容冲突的以较高标准执行。</w:t>
      </w:r>
    </w:p>
    <w:p w14:paraId="570EA6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3.2经买卖双方一致决定，设备质保期为【】个月，自双方共同签署《设备验收合格单》次日起计算。质保期内维修、更换后的设备及其辅助设施、备品备件及辅材辅料件自完成维修或更换次日起按原质保期重新计算。</w:t>
      </w:r>
    </w:p>
    <w:p w14:paraId="165E16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3.3卖方的保修责任及质量保证责任及于设备的辅助设施、备品备件及辅材辅料。</w:t>
      </w:r>
    </w:p>
    <w:p w14:paraId="200C18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3.4卖方应遵守国家、地方关于职业健康安全、消防安全和环境保护等方面的法律法规规定，同时在项目合作期间遵守买方公司有关职业健康安全、消防和环境卫生等方面制定的规章制度和管理要求。卖方法定代表人（委托责任人）或安全责任人是卖方在买方公司内生产安全、消防安全、职业健康防护、环境保护等安全环保（以下统称为EHS）工作的第一责任人，全面负责卖方责任区域及相关区域内的EHS工作，并督导本单位（包括协作厂商、分包厂商、访客等相关单位）遵守买方的各项EHS管理规定。</w:t>
      </w:r>
    </w:p>
    <w:p w14:paraId="39D367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3.5由于卖方（包括本单位、协作厂商、分包厂商、访客等相关单位）责任造成买方或第三方的人身伤害、设备损坏等财产损失，由卖方承担相应责任，并赔偿买方或第三方因此造成的全部损失。</w:t>
      </w:r>
    </w:p>
    <w:p w14:paraId="0AB4F8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第四条 设备验收及风险</w:t>
      </w:r>
    </w:p>
    <w:p w14:paraId="4E289D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4.1卖方应当负责设备的安装、调试、基本操作培训等工作并承担由此产生的全部费用，直至设备可以正常使用为止，否则买方有权拒绝付款。安装调试所需的一切辅材辅料、备品备件及人工等均应卖方自行提供并承担费用。</w:t>
      </w:r>
    </w:p>
    <w:p w14:paraId="5782F9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4.2设备安装、调试过程中产生的碎片损失及其他耗损由卖方承担。</w:t>
      </w:r>
    </w:p>
    <w:p w14:paraId="1EC4E4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4.3验收时间：</w:t>
      </w:r>
    </w:p>
    <w:p w14:paraId="091666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4.3.1如需要安装调试设备，卖方负责对安装调试过程中所有损坏的零部件进行免费更换，买方验收合格后，双方应当共同签署《眉山琏升光伏科技有限公司设备验收合格单》。若不符合验收标准的，买方应于验收期限届满后【5】个工作日内以书面形式通知卖方，卖方应在买方通知之日起【5】个工作日内进行和完成更换或补充，更换或补充设备所需的一切费用由卖方自行承担。卖方逾期未更换、补充或更换、补充后的设备仍不符合约定的，应自更换和补充期限届满之日起承担逾期交货的违约责任。</w:t>
      </w:r>
    </w:p>
    <w:p w14:paraId="1987F3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4.3.2具体验收条款参照通用条款适用。</w:t>
      </w:r>
    </w:p>
    <w:p w14:paraId="4FD910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4.3.3若设备需要调试，在调试过程中，卖方应对每日调试后的数据进行签字确认并交由买方备案，否则应按照违约行为进行处理。</w:t>
      </w:r>
    </w:p>
    <w:p w14:paraId="345369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4.4验收标准：</w:t>
      </w:r>
    </w:p>
    <w:p w14:paraId="0EE115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4.4.1单证齐全：应有设备合格证（或质量证明）、使用说明、保修证明、发票和其它应具有的单证，双方封存的样品，设备总清单；</w:t>
      </w:r>
    </w:p>
    <w:p w14:paraId="125AFA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4.4.2设备型号、数量、规格、型号、性能、质量等均符合本合同的约定的技术要求和标准。</w:t>
      </w:r>
    </w:p>
    <w:p w14:paraId="005072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第五条 违约责任</w:t>
      </w:r>
    </w:p>
    <w:p w14:paraId="2E7B31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5.1卖方逾期交货（本合同中的“逾期交货”定义为到期未完成交货行为及到期交付货物未达到合同约定的任一项或几项技术标准）的，应每日按照合同总金额的【】‰向买方支付违约金。逾期交货达【】日的，买方有权解除本合同，卖方应当退还全部合同价款并另行支付相当于合同总价20%的违约金，并承担以此带来的所有损失。</w:t>
      </w:r>
    </w:p>
    <w:p w14:paraId="655822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5.2卖方逾期调试（本合同中的“逾期调试”定义为到期未完成调试行为及到期未达到合同约定的任一项或几项技术标准）的，应每日按照合同总金额的【】‰向买方支付违约金。逾期调试达【】日的，买方有权解除本合同，卖方应当退还买方全部合同价款并另行支付相当于合同总价20%的违约金，并承担以此带来的所有损失。买方在卖方出现逾期调试时，买方有权使用设备，但买方的使用行为不视为对设备质量的验收，也不视为对卖方违约行为的豁免。</w:t>
      </w:r>
    </w:p>
    <w:p w14:paraId="5EF8C0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5.2.1逾期调试解除期限届满前，买方有权根据调试结果选择退货或继续调试：</w:t>
      </w:r>
    </w:p>
    <w:p w14:paraId="67613B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如买方选择退货，卖方应于收到退货通知之日起十日内退还已收取的该货物的货款，并承担买方支出的安装、拆卸、运输、保险及重新购买设备的差价等费用。卖方应于收到退货通知之日起十日内负责将被退还的合同货物运出安装现场完成退货，否则买方可自行委托第三人完成退货，费用从履约保证金或其他应付款中扣除，如因此导致设备可能产生毁损灭失的责任由卖方承担。</w:t>
      </w:r>
    </w:p>
    <w:p w14:paraId="1855D1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（2）如买方选择继续调试，卖方在承担逾期调试违约金后可继续调试，如在买方给予的宽限期内仍未达到合同约定的，则卖方应无条件完成退货，并按照5.2条约定承担违约责任。</w:t>
      </w:r>
    </w:p>
    <w:p w14:paraId="6CC50E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5.3卖方擅自解除本合同的，应当退还买方已收取的全部款项并承担相当于合同总金额20%的违约金。</w:t>
      </w:r>
    </w:p>
    <w:p w14:paraId="62789D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5.4 由于卖方设备造成车间停机等问题，所造成的产能损失及碎片、降级损失、误工损失等按照买方财务提供的价格进行赔偿。</w:t>
      </w:r>
    </w:p>
    <w:p w14:paraId="03FEE0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5.5前述违约金不足以弥补对方损失的，违约方应当予以补足。卖方应支付的任何违约金及赔偿，买方均有权在应付款项内直接扣除。</w:t>
      </w:r>
    </w:p>
    <w:p w14:paraId="283548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5.6未明确的责任参照通用条款。</w:t>
      </w:r>
    </w:p>
    <w:p w14:paraId="58157A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5.7本合同任何一方未行使或迟延行使本合同项下任何权利不构成对该项权利的放弃。本合同任何一方承担逾期违约责任，并不导致该方下一履约时间节点的顺延。</w:t>
      </w:r>
    </w:p>
    <w:p w14:paraId="232FB7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第六条 备件库</w:t>
      </w:r>
    </w:p>
    <w:p w14:paraId="27A6B1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6.1 此次备件库中备品备件的价值应为人民币【】元（买方无需就此支付任何费用），具体备品备件以买方提供的清单为准，并由卖方从调试期间开始提供，质保到期后结束。</w:t>
      </w:r>
    </w:p>
    <w:p w14:paraId="2453E9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6.2未经卖方同意，买方不得对备品备件进行私自装拆、更换。</w:t>
      </w:r>
    </w:p>
    <w:p w14:paraId="0A47AA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6.3买方使用备品备件前应先以书面形式或通过邮件告知卖方（特殊情况可电话确认），并说明所用在的机台序列号及机身编号，以便卖方做好记录工作，另买方所更换下来的备件需在盘点后三个工作日内退还给卖方。</w:t>
      </w:r>
    </w:p>
    <w:p w14:paraId="3F0D2F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6.4卖方提供的备品备件必须是全新的，良好可运行的，且与买方所提供的备件清单中的规格型号一致，备件到货经买方设备人员验收后方可放入备件库；如由卖方备件不良（除外观）所造成的后果，将由卖方承担。</w:t>
      </w:r>
    </w:p>
    <w:p w14:paraId="49CD55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6.5买方在质保期内正常使用备品备件出现自然损坏时，返厂维修产生的费用由卖方承担；备品备件在正常使用过程中出现无法运行等情况，买方立即通知卖方，卖方需在8小时内以书面方式给出处理方案，逾期未进行维修或是更换的，卖方将承担由此造成的损失。</w:t>
      </w:r>
    </w:p>
    <w:p w14:paraId="41DAE1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6.6卖方需按照买方所提供的备件清单，定期充实买方的备件库。</w:t>
      </w:r>
    </w:p>
    <w:p w14:paraId="59F04A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6.7质保期备品备件的所有权归卖方所有。备件质保到期后，将退还给卖方，且双方签署交接单。质保期内备品备件的损坏、遗失等由责任方承担。</w:t>
      </w:r>
    </w:p>
    <w:p w14:paraId="13834E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第七条 履约保证金</w:t>
      </w:r>
    </w:p>
    <w:p w14:paraId="404E17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7.1为保证合同正常履约，卖方应提供必要的保障措施，保障措施可采用履约保证金或见索即付的银行履约保函的方式。</w:t>
      </w:r>
    </w:p>
    <w:p w14:paraId="0754F7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7.1.1履约保证金额为10万元，其中投标保证金可直接转为履约保证金，差额部分可采用电汇、银行承兑汇票或履约保函方式提供，须在买方首次支付预付款之前提供。</w:t>
      </w:r>
    </w:p>
    <w:p w14:paraId="396A6B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7.1.2如是见索即付的银行保函需要为中国五大国有商业银行及中国大型股份制商业银行开具的保函，且保函开具前需要经买方书面确认。国有银行具体包括:中国工商银行、中国农业银行、中国银行、中国建设银行、交通银行、中国邮政储蓄银行、国家开发银行、中国进出口银行、中国农业发展银行；全国性股份制商业银行:招商银行、浦发银行、中信银行、中国光大银行、华夏银行、中国民生银行、广发银行、兴业银行、平安银行、浙商银行、渤海银行。</w:t>
      </w:r>
    </w:p>
    <w:p w14:paraId="17D576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7.1.3履约保证金/履约保函退还时间为标的物全部安装调试完成且验收合格后10个日历天内退还。</w:t>
      </w:r>
    </w:p>
    <w:p w14:paraId="6E3E6F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第八条 其他</w:t>
      </w:r>
    </w:p>
    <w:p w14:paraId="55F5D3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8.1本合同与下列文件一起构成合同文件：</w:t>
      </w:r>
    </w:p>
    <w:p w14:paraId="3EAEDA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（1）中标通知书（如果有）；</w:t>
      </w:r>
    </w:p>
    <w:p w14:paraId="30C332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（2）竞争性谈判文件及其补遗（如果有）；</w:t>
      </w:r>
    </w:p>
    <w:p w14:paraId="3A5E0A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（3）竞标函及其附录（如果有）；</w:t>
      </w:r>
    </w:p>
    <w:p w14:paraId="72C051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（4）专用合同条款；</w:t>
      </w:r>
    </w:p>
    <w:p w14:paraId="23A247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（5）通用合同条款；</w:t>
      </w:r>
    </w:p>
    <w:p w14:paraId="207408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（6）合同附件及技术标准和要求；</w:t>
      </w:r>
    </w:p>
    <w:p w14:paraId="2AADB6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（7）图纸（如果有）；</w:t>
      </w:r>
    </w:p>
    <w:p w14:paraId="6EC420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（8）已标价工程量清单或预算书（如果有）；</w:t>
      </w:r>
    </w:p>
    <w:p w14:paraId="5D0B06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（9）招竞标洽谈记录表、现场澄清记录及录音文件（如果有）；</w:t>
      </w:r>
    </w:p>
    <w:p w14:paraId="1B28FA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（10）其他合同文件。</w:t>
      </w:r>
    </w:p>
    <w:p w14:paraId="7242B3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在合同订立及履行过程中形成的与合同有关的文件均构成合同文件组成部分，具备同等法律效力。上述文件内容与通用条款、专用条款或其他招投标文件有冲突的，按照对卖方要求最高的一项执行，如无法确定的，以买方最终确认的要求执行。</w:t>
      </w:r>
    </w:p>
    <w:p w14:paraId="5E1988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8.2 本合同经双方加盖公章或合同专用章后生效。正本【】式【】份；买卖双方各执【】份，具有同等法律效力。双方均向对方保证：本合同授权代表是经各自完全授权的合法代表。</w:t>
      </w:r>
    </w:p>
    <w:p w14:paraId="5BA138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8.3本合同期限内，双方未经书面协商一致均不得随意变更本合同。本合同如有未尽事宜，须经双方共同协商，进行补充规定，书面补充规定与本合同具有同等效力。</w:t>
      </w:r>
    </w:p>
    <w:p w14:paraId="7A69E7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8.4通知和送达：本合同项下一方发往另一方的通知、函件、司法文书等资料及文件，均应发往本条款列明的下列地址，直到另一方书面通知更改该地址为止。只要按上述地址发送，则视为在下列日期送达：如是信函，则为按本合同签署页列明的地址挂号寄发或者特快专递递出后的第三(3)个工作日视为送达；如果是专程送达，则为收件人签收之日视为送达；公告送达的，以公告在报纸上发布之日视为送达；如果为传真或电子邮件，则为传真或电子邮件发送之日。但卖方向买方发出或交付的所有通知、要求或其它通讯均须在买方实际收到时被视为已经送达，且以传真方式或电子邮件向买方发出的所有通知、要求须于事后将原件（加盖公章）以当面送交或邮寄于买方的方式加以确认。</w:t>
      </w:r>
    </w:p>
    <w:p w14:paraId="204BE0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卖方通知和送达地址：邮箱：【】；电话：【】；送达地址：【】；                                              </w:t>
      </w:r>
    </w:p>
    <w:p w14:paraId="28BFE8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买方通知和送达地址：邮箱：【】；电话：【】；送达地址：【】；  </w:t>
      </w:r>
    </w:p>
    <w:p w14:paraId="71ABFF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8.5 合同附件：附件一：通用条款；附件二：【】；附件三：【】。</w:t>
      </w:r>
    </w:p>
    <w:p w14:paraId="79B505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【以下无正文，系《【XX】设备采购合同》签署页】</w:t>
      </w:r>
    </w:p>
    <w:p w14:paraId="25C2099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center"/>
        <w:textAlignment w:val="auto"/>
        <w:rPr>
          <w:rFonts w:hint="eastAsia" w:ascii="宋体" w:hAnsi="宋体" w:eastAsia="宋体" w:cs="宋体"/>
          <w:sz w:val="24"/>
          <w:szCs w:val="24"/>
          <w:lang w:val="en-US" w:eastAsia="zh-CN"/>
        </w:rPr>
      </w:pPr>
    </w:p>
    <w:tbl>
      <w:tblPr>
        <w:tblStyle w:val="21"/>
        <w:tblpPr w:leftFromText="180" w:rightFromText="180" w:vertAnchor="text" w:horzAnchor="page" w:tblpX="1945" w:tblpY="1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113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C49A7B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买方（盖章）：</w:t>
            </w:r>
          </w:p>
          <w:p w14:paraId="2950CA4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p>
        </w:tc>
        <w:tc>
          <w:tcPr>
            <w:tcW w:w="4261" w:type="dxa"/>
          </w:tcPr>
          <w:p w14:paraId="40F4321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lang w:val="en-US" w:eastAsia="zh-CN"/>
              </w:rPr>
            </w:pPr>
            <w:r>
              <w:rPr>
                <w:rFonts w:hint="eastAsia" w:ascii="宋体" w:hAnsi="宋体" w:eastAsia="宋体" w:cs="宋体"/>
                <w:lang w:val="en-US" w:eastAsia="zh-CN"/>
              </w:rPr>
              <w:t>卖方（盖章）：</w:t>
            </w:r>
          </w:p>
          <w:p w14:paraId="0CC1384C">
            <w:pPr>
              <w:pStyle w:val="2"/>
              <w:rPr>
                <w:rFonts w:hint="eastAsia" w:ascii="宋体" w:hAnsi="宋体" w:eastAsia="宋体" w:cs="宋体"/>
                <w:lang w:val="en-US" w:eastAsia="zh-CN"/>
              </w:rPr>
            </w:pPr>
          </w:p>
        </w:tc>
      </w:tr>
      <w:tr w14:paraId="4297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90FA5E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授权代表人（签字）：</w:t>
            </w:r>
          </w:p>
        </w:tc>
        <w:tc>
          <w:tcPr>
            <w:tcW w:w="4261" w:type="dxa"/>
          </w:tcPr>
          <w:p w14:paraId="35FFD90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授权代表人（签字）：</w:t>
            </w:r>
          </w:p>
        </w:tc>
      </w:tr>
    </w:tbl>
    <w:p w14:paraId="1AA3658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eastAsia" w:ascii="宋体" w:hAnsi="宋体" w:eastAsia="宋体" w:cs="宋体"/>
          <w:sz w:val="24"/>
          <w:szCs w:val="24"/>
          <w:lang w:val="en-US" w:eastAsia="zh-CN"/>
        </w:rPr>
      </w:pPr>
    </w:p>
    <w:p w14:paraId="3D0ED01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eastAsia" w:ascii="宋体" w:hAnsi="宋体" w:eastAsia="宋体" w:cs="宋体"/>
          <w:sz w:val="24"/>
          <w:szCs w:val="24"/>
          <w:lang w:val="en-US" w:eastAsia="zh-CN"/>
        </w:rPr>
      </w:pPr>
    </w:p>
    <w:p w14:paraId="7E8DD8C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eastAsia" w:ascii="宋体" w:hAnsi="宋体" w:eastAsia="宋体" w:cs="宋体"/>
          <w:sz w:val="24"/>
          <w:szCs w:val="24"/>
          <w:lang w:val="en-US" w:eastAsia="zh-CN"/>
        </w:rPr>
      </w:pPr>
    </w:p>
    <w:p w14:paraId="080A10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附件一：《通用条款》</w:t>
      </w:r>
    </w:p>
    <w:p w14:paraId="538997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附件一：通用条款</w:t>
      </w:r>
    </w:p>
    <w:p w14:paraId="6971AF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本附件所载《通用条款》为本采购合同（“本合同”）的重要组成部分。</w:t>
      </w:r>
    </w:p>
    <w:p w14:paraId="09AF51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卖方对本附件所载《通用条款》中各条款之含义完全知情，充分理解并知悉各条款之含义及其中所含之各项法律权利、义务及责任。</w:t>
      </w:r>
    </w:p>
    <w:p w14:paraId="65F172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第一条 定价及交货</w:t>
      </w:r>
    </w:p>
    <w:p w14:paraId="1E6529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1.1卖方本着诚实信用与长期合作的原则合理报价，买方按照双方协商进行定价。若存在报价与合理价格严重不符的，一经查实，买方有权单方面终止本合同，并要求卖方双倍返还报价与合理价格之间的差价损失。</w:t>
      </w:r>
    </w:p>
    <w:p w14:paraId="7A64D0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设备毁损、灭失的风险，在最终验收合格报告批准并且双方移交签字之前由卖方承担，且卖方应根据需要作好充分的防范工作并购买充分的保险。若卖方在负责送货到交货地点的过程中遭遇道路、交通、运输工具等意外事故或其他可能影响交货时间的意外情况，应及时与买方联系并协商确定合理延展的交货时间，并对因此造成的买方损失予以补偿。</w:t>
      </w:r>
    </w:p>
    <w:p w14:paraId="0782BF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1.3卖方应按本合同规定的交货时间和地点及时进行交货，卖方应承担因其提前或拖延在交货地点交货而导致的产品的任何毁损责任及为买方造成的任何额外费用和损失。</w:t>
      </w:r>
    </w:p>
    <w:p w14:paraId="30DFEC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每次送货时必须随货附有送货单（包括但不限于订单中规定的物料编号、品名、规格、数量、订单号等），符合买方要求的检测报告、合格证。如上述资料不准确或不齐全，买方有权拒收，并视同卖方未履行交付义务。</w:t>
      </w:r>
    </w:p>
    <w:p w14:paraId="046EE8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第二条 产品的包装标准和包装物的供应回收</w:t>
      </w:r>
    </w:p>
    <w:p w14:paraId="0F66AF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卖方必须根据产品特点对产品进行必要的包装，包装应符合相关包装储运指示标志的规定以及最新国家标准，保证满足长途运输、能承受水平受力、垂直受力、多次搬运、装卸、防潮、防震、防碎等包装要求，使产品在运输过程中不被损坏。产品的包装是否合格以买方的验收为准，如果有两次发生因包装不善导致的品质问题，卖方必须根据买方的要求更改其包装，并由卖方承担更换包装的费用。</w:t>
      </w:r>
    </w:p>
    <w:p w14:paraId="645C58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2.2卖方交付的包装物如需要回收，包装物的回收由卖方完成。回收过程中发生的费用由卖方承担。</w:t>
      </w:r>
    </w:p>
    <w:p w14:paraId="0D0643B1">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验收及质量保证</w:t>
      </w:r>
    </w:p>
    <w:p w14:paraId="46CB66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到货初验：在卖方将本合同约定的产品按照本通用条款第一条的约定交予买方后，买方负责对卖方送货的数量、型号进行清点、检查，并在卖方或承运人提供的送货单上签字。卖方应当提供符合合同及附件约定的设备，否则买方有权拒绝签收产品，由此产生的一切费用及对买方造成的损失，均由卖方承担。</w:t>
      </w:r>
    </w:p>
    <w:p w14:paraId="3BD0E1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3.2 安装调试验收：在满足安装、调试及工艺设备参数要求的条件下，根据买方时间安排，在卖方技术人员指导下，各设备由买方人员操作试运行【】日无故障，双方共同签署该设备安装调试合格文件。</w:t>
      </w:r>
    </w:p>
    <w:p w14:paraId="38C19F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3.3正式验收：在各生产设备正常运转，持续【】日运行无故障（生产设备的出产品质量状态稳定，产品质量满足要求）视为达到验收合格标准。在上述单机、联机、批量试生产过程中，双方对每日设备运行及生产数据进行记录并由双方签字确认。</w:t>
      </w:r>
    </w:p>
    <w:p w14:paraId="2BA806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3.4验收期限：设备达到验收标准具备验收条件【】日内卖方通知买方验收，买方应自收到卖方的验收通知之日起【】日内进行验收。若设备验收期届满，因买方原因没有在约定的期间内进行验收或提出异议的，视同验收合格。</w:t>
      </w:r>
    </w:p>
    <w:p w14:paraId="57F738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3.5 卖方交付设备在上述验收环节中未能达到验收标准的，买方均有权要求卖方予以换货或维修。在买方要求期限内仍无法达到验收合格标准的，买方有权解除本合同，并要求卖方承担逾期交付或逾期安装调试的违约责任。</w:t>
      </w:r>
    </w:p>
    <w:p w14:paraId="37311D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lang w:val="en-US" w:eastAsia="zh-CN"/>
        </w:rPr>
      </w:pPr>
      <w:r>
        <w:rPr>
          <w:rFonts w:hint="eastAsia" w:ascii="宋体" w:hAnsi="宋体" w:eastAsia="宋体" w:cs="宋体"/>
          <w:sz w:val="24"/>
          <w:szCs w:val="24"/>
          <w:vertAlign w:val="baseline"/>
          <w:lang w:val="en-US" w:eastAsia="zh-CN"/>
        </w:rPr>
        <w:t>3.6产品/设备的交付并经质量验收不能视为对卖方权利或质量责任的解除。</w:t>
      </w:r>
    </w:p>
    <w:p w14:paraId="7CDED3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3.7卖方保证为买方供货产品严格按照双方约定的技术条件（图纸及其他技术文件）生产，并符合双方约定的设计或技术等要求。</w:t>
      </w:r>
    </w:p>
    <w:p w14:paraId="6B62C0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3.8买方对设备组织验收，对不能通过验收的，卖方应在买方要求期限内采取更换、维修、二次调试、退货等有效措施予以处理。对于验收不合格的设备，买方有权利委托第三方机构对产品进行检测，由此而产生的相关费用由卖方承担。</w:t>
      </w:r>
    </w:p>
    <w:p w14:paraId="5EAE4C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3.9卖方对其所提供的设备按照国家标准规定的质量保证期或买方验收标准约定的质量保证期承担质保责任。在该期间内如果该产品出现任何质量问题，买方可随时向卖方发出不合格通知，卖方需按买方要求及时进行产品退换。质量保证期届满后，卖方提供的产品损坏需要卖方提供相关维修、更换等保障服务的，卖方应在24小时内及时提供免费上门服务，买方应按市场成本价承担零件更换等实际发生的经买方认可的费用。</w:t>
      </w:r>
    </w:p>
    <w:p w14:paraId="06D363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3.10卖方在接到买方书面异议后，应在5个工作日内（另有规定或买卖双方另行商定期限者除外）作出书面回复，否则，视为默认买方提出的异议和处理意见。</w:t>
      </w:r>
    </w:p>
    <w:p w14:paraId="4253E5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3.11若买方认为卖方产品不能达到技术要求（图纸及其他技术文件），或经过整改仍然不能达到买方技术要求，买方有权单方面终止合同，终止合同后买方可以选择（1）保留合同产品并要求卖方退还买方已经支付但实际未发生的金额（如有），或（2）要求卖方收回合同产品并返还所有买方已支付费用，同时须承担对买方造成的所有损失。</w:t>
      </w:r>
    </w:p>
    <w:p w14:paraId="0A741E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3.12买方根据需要可以在采取事先通知或不予通知的情况下在卖方或卖方的供应商处进行检查，这种检查包括品质保证体系及有关产品品质的各个环节。</w:t>
      </w:r>
    </w:p>
    <w:p w14:paraId="4290D4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卖方对买方所进行的监督检查中反馈的不合格项目应迅速策划改善对策，并于48小时内把事后实施情况及结果报告给买方。 </w:t>
      </w:r>
    </w:p>
    <w:p w14:paraId="26A103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3.13卖方不得在设备系统内设置软件有效期，软件须无使用期限限制。</w:t>
      </w:r>
    </w:p>
    <w:p w14:paraId="76C64B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3.14卖方对其所提供的产品承担权利瑕疵的担保责任，即卖方承诺对交付设备享有合法的所有权及其他权利，如果由于其提供的产品权利瑕疵给买方造成了损失，应当由卖方承担赔偿责任。</w:t>
      </w:r>
    </w:p>
    <w:p w14:paraId="50D26F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第四条 不可抗力</w:t>
      </w:r>
    </w:p>
    <w:p w14:paraId="4B085E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4.1 “不可抗力”是指双方合同订立时不能预见、不能避免并不能克服的客观情况，包括发生严重的自然灾难（如：台风、洪水、地震、火灾和爆炸等）、战争、叛乱、动乱，瘟疫，政府临时颁布的法令、命令或政府行为（征收、征用等），以及其他社会异常事件（如罢工、骚乱等）。任何一方由于不可抗力事件而被妨碍履行其在本合同项下的任何义务，则应立即通知对方，由双方协商延长履约期限，以涵盖受不可抗力影响的时间。</w:t>
      </w:r>
    </w:p>
    <w:p w14:paraId="64A6E4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4.2遭受不可抗力事件影响一方应在不可抗力事件发生后，在条件允许的情况下立即将所发生的不可抗力事件的情况以传真或电子邮件方式书面通知另一方，并在该等事件结束后十四日内提交不可抗力事件发生地的、具有公信力的机关或权威机构出具的一份确认不可抗力事件的书面证明。</w:t>
      </w:r>
    </w:p>
    <w:p w14:paraId="6224B1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4.3如果不可抗力事件持续影响达到三十天，双方应派人及时会晤并协商由不可抗力事件产生的问题（包括但不限于：迟延交货与验收或终止本合同）的解决方法。不可抗力事件持续影响达三十天，买卖双方中任何一方均有权终止本合同，提出终止本合同的一方当事人向另外一方当事人发出终止本合同的书面通知后即可终止本合同。</w:t>
      </w:r>
    </w:p>
    <w:p w14:paraId="4D7310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第五条 违约责任</w:t>
      </w:r>
    </w:p>
    <w:p w14:paraId="5215B7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5.1卖方未按合同约定履行质保义务的，每延期1日应按合同总金额的1‰向买方承担违约责任，逾期超过7日的，买方有权自行或委托第三方进行维修或退货，由此产生的费用由卖方承担。如果卖方延迟交货或延误工期造成买方损失的，买方有权要求卖方赔偿因延迟交货或延误工期而造成的空运、客户罚款等损失。</w:t>
      </w:r>
    </w:p>
    <w:p w14:paraId="0CF193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5.2卖方在合同履行过程中，被证实其产品、服务、工程等标的所使用之原料、工艺、技术等不符合本合同约定或未能达到实现本合同目的所应有之标准时，买方有权不予支付违约部分相应全部款项或要求卖方立即返还该款项，同时卖方还应当向买方支付违约部分款项两倍的违约金，并承担买方或第三方的财产损失责任和人身伤亡责任。买方进行的合理补救措施不得视为对卖方违约行为的豁免，也不得视为对合同变更。</w:t>
      </w:r>
    </w:p>
    <w:p w14:paraId="44D136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5.3按本合同规定应该偿付的违约金、赔偿金等，应当在明确责任后十天内，按银行规定的结算办法付清，否则按逾期付款处理。</w:t>
      </w:r>
    </w:p>
    <w:p w14:paraId="3CBFAF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5.4如卖方单方面提出终止合同，则需赔偿由此而导致买方所遭受的误工、停产、延期交货等带来的一切损失，退还买方已经支付但未实际发生的金额（如有），并向买方赔付合同总金额的 20% 作为违约金。</w:t>
      </w:r>
    </w:p>
    <w:p w14:paraId="65A1F3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5.5卖方在本合同签订前已经对本项目进行充分的了解，也清楚的了解到本项目的重要性及紧迫性，因卖方原因（包括不限于违约行为）致使本合同所涉项目各个环节和时间节点（如：到货、安装调试、验收等）未能按时达成、设备（包含材料）存在质量问题或验收时未发现而在使用过程中出现的质量问题等情况的出现都将给买方造成巨大的损失。为此，卖方在知悉前述情况下同意签订本协议并做出承诺：因卖方原因（包括不限于违约行为）所导致的买方“合理损失”，卖方承诺将全部予以赔偿，损失金额以买方财务核实数据为准。合理损失包括不限于：</w:t>
      </w:r>
    </w:p>
    <w:p w14:paraId="61CB94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（1）设备（材料）退、换所产生的全部费用（包括运输费、人工费、包装费等）；</w:t>
      </w:r>
    </w:p>
    <w:p w14:paraId="7EF1D9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（2）因卖方原因，可能导致项目进度延迟或其他影响项目正常推进的情形时，买方为保证项目顺利推进而采取的其他措施所产生的费用；</w:t>
      </w:r>
    </w:p>
    <w:p w14:paraId="1D9C6A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（3）设备（材料）无法交付，买方自行采购相同设备的成本价格；</w:t>
      </w:r>
    </w:p>
    <w:p w14:paraId="6FA4AA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lang w:val="en-US" w:eastAsia="zh-CN"/>
        </w:rPr>
      </w:pPr>
      <w:r>
        <w:rPr>
          <w:rFonts w:hint="eastAsia" w:ascii="宋体" w:hAnsi="宋体" w:eastAsia="宋体" w:cs="宋体"/>
          <w:sz w:val="24"/>
          <w:szCs w:val="24"/>
          <w:vertAlign w:val="baseline"/>
          <w:lang w:val="en-US" w:eastAsia="zh-CN"/>
        </w:rPr>
        <w:t>（4）维修设备（包括但不限于本合同交付的设备及因卖方原因损坏的其他设备）的维修费、赔偿款、违约金等；</w:t>
      </w:r>
    </w:p>
    <w:p w14:paraId="2BD9DC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（5）因卖方原因导致项目导致买方无法正常生产经营造成买方的产能损失、碎片损失、误工损失、违约金、赔偿金等；</w:t>
      </w:r>
    </w:p>
    <w:p w14:paraId="7E96AF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（6）因买方维权而产生的诉讼费、鉴定费、保全费用、律师代理费、交通费等；</w:t>
      </w:r>
    </w:p>
    <w:p w14:paraId="0C2A6E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（7）其他的“合理损失”。</w:t>
      </w:r>
    </w:p>
    <w:p w14:paraId="053B5B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5.7若因卖方原因造成买方损失或因卖方违约时，买方可在书面通知卖方后，从合同款项中直接扣除。</w:t>
      </w:r>
    </w:p>
    <w:p w14:paraId="6E2FDE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5.8通用条款与专用条款违约责任矛盾冲突的，以较为严格条款为准。</w:t>
      </w:r>
    </w:p>
    <w:p w14:paraId="7E1A59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第六条 卖方知识产权保证</w:t>
      </w:r>
    </w:p>
    <w:p w14:paraId="0857DB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6.1卖方确保，在产品交付买方前是所售产品的唯一所有权人，如因所有权瑕疵导致买方遭任何第三方索赔，一切责任均由卖方承担。所售产品在全球范围内没有侵害任何第三方的知识产权（包括但不限于专利），如产品为生产设备，则使用该设备时所采用的生产工艺如果侵犯任何第三方的知识产权，视为该生产设备侵犯第三方的知识产权。 </w:t>
      </w:r>
    </w:p>
    <w:p w14:paraId="03CED9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6.2如果卖方所售产品在全球范围内侵犯任何第三方知识产权，所有责任及损失均由卖方承担，由卖方向买方及使用该产品的买方关联公司承担赔偿责任。特别的，如果卖方销售给买方的产品为生产设备，并且该生产设备的生产工艺侵犯任何第三方的知识产权，则卖方需要赔偿买方因此造成的设备不能继续使用的设备投资损失、停产损失、使用该设备生产的产品被禁止销售导致的全部直接和间接损失等。 </w:t>
      </w:r>
    </w:p>
    <w:p w14:paraId="37E6F8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6.3买方或者买方关联公司因使用卖方所售产品被任何第三方指控侵权时（包括但不限于诉讼、仲裁、行政调查）、将相关信息反馈给卖方后，卖方应当在15个工作日完成下列措施： </w:t>
      </w:r>
    </w:p>
    <w:p w14:paraId="61D3E0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6.3.1卖方将承担获得第三方的知识产权许可的费用，以保证买方能继续正常的使用产品； </w:t>
      </w:r>
    </w:p>
    <w:p w14:paraId="0741E6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6.3.2卖方将在承担买方费用、损失的基础上，为买方更换同等功能和性能的不侵权的产品； </w:t>
      </w:r>
    </w:p>
    <w:p w14:paraId="0E6D4B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6.3.3卖方向买方提供相当于指控侵权金额的保证金，以保证赔偿买方可能遭遇到的损失。 </w:t>
      </w:r>
    </w:p>
    <w:p w14:paraId="658273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6.4如卖方未能在15个工作日内提供以上解决方案，则买方可以自行与知识产权权利人联系，以获得相关知识产权许可；或者买方可自行在行政途径、司法途径中答辩或与知识产权权利人和解。以上解决方案产生的所有费用、损失由卖方承担。就该费用和损失，买方有权在实际发生前，按照预估的金额起诉卖方并对卖方的财产采取保全，获得事先的救济和保障。 </w:t>
      </w:r>
    </w:p>
    <w:p w14:paraId="0F9C7D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6.5卖方承诺，卖方及其关联公司，在全球范围内，现在及未来不可撤销的放弃对买方、买方关联公司、买方所销售产品（包括产品的销售商及使用方）主张任何知识产权相关的权利，无论该知识产权问题是否由买方或者买方的第三方供应商引起。 </w:t>
      </w:r>
    </w:p>
    <w:p w14:paraId="7304B5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第七条 合同解除</w:t>
      </w:r>
    </w:p>
    <w:p w14:paraId="33DADC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卖方出现下列情况之一的，买方有权解除合同，并且卖方应当赔偿由此给买方造成的损失，并退还买方已经支付但未实际发生的金额（如有）：</w:t>
      </w:r>
    </w:p>
    <w:p w14:paraId="0FFFC9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7.1卖方的产品检验不合格，经返工或换货仍未能达到买方的验收标准的；</w:t>
      </w:r>
    </w:p>
    <w:p w14:paraId="6029D7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7.2卖方产品违背本通用条款第六条知识产权保证约定的；</w:t>
      </w:r>
    </w:p>
    <w:p w14:paraId="74E52F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7.3卖方无特殊原因不能按照约定时间供货达到7日的；</w:t>
      </w:r>
    </w:p>
    <w:p w14:paraId="261D0B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7.4卖方逾期调试达到7日的；</w:t>
      </w:r>
    </w:p>
    <w:p w14:paraId="7197FB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7.5卖方从事不正当交易行为；</w:t>
      </w:r>
    </w:p>
    <w:p w14:paraId="23FD53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7.6卖方违反国际或国内的法律规定或合同约定，且（将）给买方造成损失的；</w:t>
      </w:r>
    </w:p>
    <w:p w14:paraId="63852B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7.7其他本合同约定的其他情形。</w:t>
      </w:r>
    </w:p>
    <w:p w14:paraId="49233A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通用条款与专用条款违约责任矛盾冲突的，以较为严格条款为准。</w:t>
      </w:r>
    </w:p>
    <w:p w14:paraId="27321B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第八条 合同解除或终止的后果</w:t>
      </w:r>
    </w:p>
    <w:p w14:paraId="0D046B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在本合同按其有关规定被解除或终止后，（1）卖方应对其在终止前按照本合同已接受或视为已接受的买方订单继续承担按时交货义务；（2）卖方对其在本合同中所作的任何承诺和保证继续有效。</w:t>
      </w:r>
    </w:p>
    <w:p w14:paraId="3FB122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第九条 陈述、保证及承诺条款</w:t>
      </w:r>
    </w:p>
    <w:p w14:paraId="6D5A32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9.1卖方陈述及保证其是根据中国法律合法成立并有效存续的有限责任公司，其签署和履行本合同已经经内部所有适当授权，其签署和履行本合同不违反任何法律法规、其章程和其作为一方的任何合同。</w:t>
      </w:r>
    </w:p>
    <w:p w14:paraId="701D05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9.2在招标、议标、签约及履约过程中，卖方或其工作人员不得以其公司或私人名义向买方工作人员直接或间接给予现金、贵重物品、有价证券等，不得采取其他变相手段使买方工作人员获得不当利益，卖方或其工作人员以其公司或私人名义与买方工作人员或其介绍的任何第三人从事和该合同类似的交易行为，均应视为侵害买方利益。</w:t>
      </w:r>
    </w:p>
    <w:p w14:paraId="0CE554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9.3卖方声明并保证因签订或履行本合同而提供给买方的任何信息、材料是真实、完整、正确、合法、有效的，不得提供虚假材料、伪造证章。</w:t>
      </w:r>
    </w:p>
    <w:p w14:paraId="59F063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9.4 若卖方或其工作人员存在以上任何一行为，买方有权立即单方解除该合同，无须承担任何责任，并视同卖方已经自动放弃已执行的部分或全部合同项下权益（包含合同价款等），卖方应退还买方已经支付但未实际发生的金额（如有），并承担因此造成买方的全部损失，包括直接损失和间接损失。</w:t>
      </w:r>
    </w:p>
    <w:p w14:paraId="2D9654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9.6如果卖方违反本保证条款的约定，买方保留拒绝此后卖方参与买方招标的任何交易的权利。</w:t>
      </w:r>
    </w:p>
    <w:p w14:paraId="47EE93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9.7 保证条款在本合同履行期间及此后对双方皆具有约束力，其所有内容不因本合同或其某一条款的解除或终止而失效。</w:t>
      </w:r>
    </w:p>
    <w:p w14:paraId="3BADA5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第十条 保密</w:t>
      </w:r>
    </w:p>
    <w:p w14:paraId="1C5E38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10.1 在本合同签订及其履行期间，合同一方当事人可能必须向另一方当事人提供涉及其商业活动、产品、服务、知识产权、技术细节及性能、公司组织管理状况等信息，该等信息应被视为合同一方当事人的保密信息（以下简称“保密信息”）；另一方当事人收到保密信息后亦应对其保密，不得将保密信息披露、透露给任何第三人或擅自公开，且不得用于履行本合同以外的其他目的；否则须承担违约赔偿责任。本保密义务于本合同终止或解除后2年内仍有效力。</w:t>
      </w:r>
    </w:p>
    <w:p w14:paraId="140703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10.2 本保密义务不受本合同其他条款无效或本合同被提前解除的影响。一旦发生泄密行为，泄密方向受损害方承担违约责任以及相应法律责任，其中违约金为本合同标的20%。</w:t>
      </w:r>
    </w:p>
    <w:p w14:paraId="7DFB77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第十一条 转让和分包</w:t>
      </w:r>
    </w:p>
    <w:p w14:paraId="3DB5F7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10.1任何一方未取得另一方事先书面同意，不得将本合同项下的部分或全部内容转让给第三方。</w:t>
      </w:r>
    </w:p>
    <w:p w14:paraId="198A50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10.2未经买方书面同意，卖方不得将本合同供货范围中的采购事项对外转包或分包。确需转包或分包的，应事先取得买方书面同意，并将供货商的名单提交买方确认，并从经买方书面确认的供货商名单中选定分包商。卖方擅自向未经买方书面确认的供货商分包合同货物的，买方有权拒付分包部分货物的价款，并部分或全部终止本合同。</w:t>
      </w:r>
    </w:p>
    <w:p w14:paraId="02C137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10.3卖方应对所有分包货物承担本合同项下的全部责任。买方对分包商的确认与否并不免除卖方根据本合同所应承担的任何责任，也不增加买方的责任。</w:t>
      </w:r>
    </w:p>
    <w:p w14:paraId="442AAC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第十一条 争议解决</w:t>
      </w:r>
    </w:p>
    <w:p w14:paraId="6AF97C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本合同的效力、解释、执行和因本协议引起的争议的解决适用中国法律。双方同意对本合同下出现的任何争议，应首先通过友好协商的方式加以解决。如果双方不能通过上述方式解决争议，则双方同意向买方所在地具有管辖权的人民法院提起诉讼。败诉方承担对方发生的所有合理的开支和费用，包括但不限于律师费，诉讼费、保全费、交通食宿、调查费、鉴定费等。</w:t>
      </w:r>
    </w:p>
    <w:p w14:paraId="5F940C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第十二条 其他</w:t>
      </w:r>
    </w:p>
    <w:p w14:paraId="012089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12.1买卖双方对于与本合同履行有关的行为中涉及到的对方商业秘密和保密信息负有保密义务。</w:t>
      </w:r>
    </w:p>
    <w:p w14:paraId="41839C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12.2合同期内，买卖双方均不得随意变更或解除合同。合同如有未尽事宜，双方应以友好协商的方式加以解决，并作出书面补充协议或规定。补充协议或规定与本合同具有同等法律效力。</w:t>
      </w:r>
    </w:p>
    <w:p w14:paraId="1A2BF0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vertAlign w:val="baseline"/>
          <w:lang w:val="en-US" w:eastAsia="zh-CN"/>
        </w:rPr>
      </w:pPr>
      <w:r>
        <w:rPr>
          <w:rFonts w:hint="eastAsia" w:ascii="宋体" w:hAnsi="宋体" w:eastAsia="宋体" w:cs="宋体"/>
          <w:sz w:val="24"/>
          <w:szCs w:val="24"/>
          <w:vertAlign w:val="baseline"/>
          <w:lang w:val="en-US" w:eastAsia="zh-CN"/>
        </w:rPr>
        <w:t>12.3除通用条款另有约定外，若通用条款与专用条款存在不一致的约定，以专用条款为准；专用条款未约定的或约定不明的以通用条款为准。</w:t>
      </w:r>
    </w:p>
    <w:p w14:paraId="035834A6">
      <w:pPr>
        <w:adjustRightInd w:val="0"/>
        <w:snapToGrid w:val="0"/>
        <w:spacing w:line="360" w:lineRule="auto"/>
        <w:jc w:val="left"/>
        <w:rPr>
          <w:rFonts w:hint="eastAsia" w:ascii="宋体" w:hAnsi="宋体" w:eastAsia="宋体" w:cs="宋体"/>
          <w:szCs w:val="21"/>
          <w:highlight w:val="none"/>
        </w:rPr>
      </w:pPr>
      <w:bookmarkStart w:id="47" w:name="_Hlk115361942"/>
    </w:p>
    <w:p w14:paraId="2AB37710">
      <w:pPr>
        <w:pStyle w:val="2"/>
        <w:rPr>
          <w:rFonts w:hint="eastAsia" w:ascii="宋体" w:hAnsi="宋体" w:eastAsia="宋体" w:cs="宋体"/>
          <w:szCs w:val="21"/>
          <w:highlight w:val="none"/>
        </w:rPr>
      </w:pPr>
    </w:p>
    <w:p w14:paraId="6C2044CD">
      <w:pPr>
        <w:rPr>
          <w:rFonts w:hint="eastAsia" w:ascii="宋体" w:hAnsi="宋体" w:eastAsia="宋体" w:cs="宋体"/>
          <w:szCs w:val="21"/>
          <w:highlight w:val="none"/>
        </w:rPr>
      </w:pPr>
    </w:p>
    <w:p w14:paraId="42BCEE52">
      <w:pPr>
        <w:pStyle w:val="2"/>
        <w:rPr>
          <w:rFonts w:hint="eastAsia" w:ascii="宋体" w:hAnsi="宋体" w:eastAsia="宋体" w:cs="宋体"/>
          <w:szCs w:val="21"/>
          <w:highlight w:val="none"/>
        </w:rPr>
      </w:pPr>
    </w:p>
    <w:p w14:paraId="4B613807">
      <w:pPr>
        <w:rPr>
          <w:rFonts w:hint="eastAsia" w:ascii="宋体" w:hAnsi="宋体" w:eastAsia="宋体" w:cs="宋体"/>
          <w:szCs w:val="21"/>
          <w:highlight w:val="none"/>
        </w:rPr>
      </w:pPr>
    </w:p>
    <w:p w14:paraId="51E54AAF">
      <w:pPr>
        <w:pStyle w:val="2"/>
        <w:rPr>
          <w:rFonts w:hint="eastAsia" w:ascii="宋体" w:hAnsi="宋体" w:eastAsia="宋体" w:cs="宋体"/>
          <w:szCs w:val="21"/>
          <w:highlight w:val="none"/>
        </w:rPr>
      </w:pPr>
    </w:p>
    <w:p w14:paraId="435CB035">
      <w:pPr>
        <w:rPr>
          <w:rFonts w:hint="eastAsia" w:ascii="宋体" w:hAnsi="宋体" w:eastAsia="宋体" w:cs="宋体"/>
          <w:szCs w:val="21"/>
          <w:highlight w:val="none"/>
        </w:rPr>
      </w:pPr>
    </w:p>
    <w:p w14:paraId="15928EA3">
      <w:pPr>
        <w:pStyle w:val="2"/>
        <w:rPr>
          <w:rFonts w:hint="eastAsia"/>
        </w:rPr>
      </w:pPr>
    </w:p>
    <w:bookmarkEnd w:id="47"/>
    <w:p w14:paraId="339734BD">
      <w:pPr>
        <w:pStyle w:val="30"/>
        <w:ind w:firstLine="0" w:firstLineChars="0"/>
        <w:outlineLvl w:val="0"/>
        <w:rPr>
          <w:rFonts w:hint="eastAsia" w:ascii="宋体" w:hAnsi="宋体" w:eastAsia="宋体" w:cs="宋体"/>
          <w:highlight w:val="none"/>
        </w:rPr>
      </w:pPr>
      <w:r>
        <w:rPr>
          <w:rFonts w:hint="eastAsia" w:ascii="宋体" w:hAnsi="宋体" w:cs="宋体"/>
          <w:highlight w:val="none"/>
          <w:lang w:val="en-US" w:eastAsia="zh-CN"/>
        </w:rPr>
        <w:t>*</w:t>
      </w:r>
      <w:r>
        <w:rPr>
          <w:rFonts w:hint="eastAsia" w:ascii="宋体" w:hAnsi="宋体" w:eastAsia="宋体" w:cs="宋体"/>
          <w:highlight w:val="none"/>
        </w:rPr>
        <w:t>附件9</w:t>
      </w:r>
    </w:p>
    <w:p w14:paraId="3991ABC9">
      <w:pPr>
        <w:snapToGrid w:val="0"/>
        <w:outlineLvl w:val="1"/>
        <w:rPr>
          <w:rFonts w:hint="eastAsia" w:ascii="宋体" w:hAnsi="宋体" w:eastAsia="宋体" w:cs="宋体"/>
          <w:b/>
          <w:bCs/>
          <w:sz w:val="21"/>
          <w:szCs w:val="21"/>
          <w:highlight w:val="none"/>
          <w:lang w:val="en-US" w:eastAsia="zh-CN"/>
        </w:rPr>
      </w:pPr>
      <w:bookmarkStart w:id="48" w:name="_Toc115362812"/>
      <w:bookmarkStart w:id="49" w:name="_Toc115362496"/>
      <w:bookmarkStart w:id="50" w:name="_Toc115424838"/>
      <w:bookmarkStart w:id="51" w:name="_Toc115362593"/>
      <w:r>
        <w:rPr>
          <w:rFonts w:hint="eastAsia" w:ascii="宋体" w:hAnsi="宋体" w:eastAsia="宋体" w:cs="宋体"/>
          <w:b/>
          <w:bCs/>
          <w:sz w:val="21"/>
          <w:szCs w:val="21"/>
          <w:highlight w:val="none"/>
        </w:rPr>
        <w:t>《招标采购技术要求规范》详见</w:t>
      </w:r>
      <w:bookmarkEnd w:id="48"/>
      <w:bookmarkEnd w:id="49"/>
      <w:bookmarkEnd w:id="50"/>
      <w:bookmarkEnd w:id="51"/>
      <w:r>
        <w:rPr>
          <w:rFonts w:hint="eastAsia" w:ascii="宋体" w:hAnsi="宋体" w:eastAsia="宋体" w:cs="宋体"/>
          <w:b/>
          <w:bCs/>
          <w:sz w:val="21"/>
          <w:szCs w:val="21"/>
          <w:highlight w:val="none"/>
          <w:lang w:val="en-US" w:eastAsia="zh-CN"/>
        </w:rPr>
        <w:t>技术文件</w:t>
      </w:r>
    </w:p>
    <w:p w14:paraId="5DCAAC8D">
      <w:pPr>
        <w:snapToGrid w:val="0"/>
        <w:outlineLvl w:val="1"/>
        <w:rPr>
          <w:rFonts w:hint="eastAsia" w:ascii="宋体" w:hAnsi="宋体" w:eastAsia="宋体" w:cs="宋体"/>
          <w:b/>
          <w:bCs/>
          <w:sz w:val="21"/>
          <w:szCs w:val="21"/>
          <w:highlight w:val="none"/>
          <w:lang w:val="en-US" w:eastAsia="zh-CN"/>
        </w:rPr>
      </w:pPr>
    </w:p>
    <w:p w14:paraId="41CDDDCD">
      <w:pPr>
        <w:snapToGrid w:val="0"/>
        <w:outlineLvl w:val="1"/>
        <w:rPr>
          <w:rFonts w:hint="eastAsia" w:ascii="宋体" w:hAnsi="宋体" w:eastAsia="宋体" w:cs="宋体"/>
          <w:b/>
          <w:bCs/>
          <w:sz w:val="21"/>
          <w:szCs w:val="21"/>
          <w:highlight w:val="none"/>
          <w:lang w:val="en-US" w:eastAsia="zh-CN"/>
        </w:rPr>
      </w:pPr>
    </w:p>
    <w:p w14:paraId="0EE67E00">
      <w:pPr>
        <w:snapToGrid w:val="0"/>
        <w:outlineLvl w:val="1"/>
        <w:rPr>
          <w:rFonts w:hint="eastAsia" w:ascii="宋体" w:hAnsi="宋体" w:eastAsia="宋体" w:cs="宋体"/>
          <w:b/>
          <w:bCs/>
          <w:sz w:val="21"/>
          <w:szCs w:val="21"/>
          <w:highlight w:val="none"/>
          <w:lang w:val="en-US" w:eastAsia="zh-CN"/>
        </w:rPr>
      </w:pPr>
    </w:p>
    <w:p w14:paraId="5992E77A">
      <w:pPr>
        <w:snapToGrid w:val="0"/>
        <w:outlineLvl w:val="1"/>
        <w:rPr>
          <w:rFonts w:hint="eastAsia" w:ascii="宋体" w:hAnsi="宋体" w:eastAsia="宋体" w:cs="宋体"/>
          <w:b/>
          <w:bCs/>
          <w:sz w:val="21"/>
          <w:szCs w:val="21"/>
          <w:highlight w:val="none"/>
          <w:lang w:val="en-US" w:eastAsia="zh-CN"/>
        </w:rPr>
      </w:pPr>
    </w:p>
    <w:p w14:paraId="6A6D36D8">
      <w:pPr>
        <w:snapToGrid w:val="0"/>
        <w:outlineLvl w:val="1"/>
        <w:rPr>
          <w:rFonts w:hint="eastAsia" w:ascii="宋体" w:hAnsi="宋体" w:eastAsia="宋体" w:cs="宋体"/>
          <w:b/>
          <w:bCs/>
          <w:sz w:val="21"/>
          <w:szCs w:val="21"/>
          <w:highlight w:val="none"/>
          <w:lang w:val="en-US" w:eastAsia="zh-CN"/>
        </w:rPr>
      </w:pPr>
    </w:p>
    <w:p w14:paraId="7E1C0176">
      <w:pPr>
        <w:snapToGrid w:val="0"/>
        <w:outlineLvl w:val="1"/>
        <w:rPr>
          <w:rFonts w:hint="eastAsia" w:ascii="宋体" w:hAnsi="宋体" w:eastAsia="宋体" w:cs="宋体"/>
          <w:b/>
          <w:bCs/>
          <w:sz w:val="21"/>
          <w:szCs w:val="21"/>
          <w:highlight w:val="none"/>
          <w:lang w:val="en-US" w:eastAsia="zh-CN"/>
        </w:rPr>
      </w:pPr>
    </w:p>
    <w:p w14:paraId="46287986">
      <w:pPr>
        <w:snapToGrid w:val="0"/>
        <w:outlineLvl w:val="1"/>
        <w:rPr>
          <w:rFonts w:hint="eastAsia" w:ascii="宋体" w:hAnsi="宋体" w:eastAsia="宋体" w:cs="宋体"/>
          <w:b/>
          <w:bCs/>
          <w:sz w:val="21"/>
          <w:szCs w:val="21"/>
          <w:highlight w:val="none"/>
          <w:lang w:val="en-US" w:eastAsia="zh-CN"/>
        </w:rPr>
      </w:pPr>
    </w:p>
    <w:p w14:paraId="4833ECB6">
      <w:pPr>
        <w:snapToGrid w:val="0"/>
        <w:outlineLvl w:val="1"/>
        <w:rPr>
          <w:rFonts w:hint="eastAsia" w:ascii="宋体" w:hAnsi="宋体" w:eastAsia="宋体" w:cs="宋体"/>
          <w:b/>
          <w:bCs/>
          <w:sz w:val="21"/>
          <w:szCs w:val="21"/>
          <w:highlight w:val="none"/>
          <w:lang w:val="en-US" w:eastAsia="zh-CN"/>
        </w:rPr>
      </w:pPr>
    </w:p>
    <w:p w14:paraId="6BEC2609">
      <w:pPr>
        <w:snapToGrid w:val="0"/>
        <w:outlineLvl w:val="1"/>
        <w:rPr>
          <w:rFonts w:hint="eastAsia" w:ascii="宋体" w:hAnsi="宋体" w:eastAsia="宋体" w:cs="宋体"/>
          <w:b/>
          <w:bCs/>
          <w:sz w:val="21"/>
          <w:szCs w:val="21"/>
          <w:highlight w:val="none"/>
          <w:lang w:val="en-US" w:eastAsia="zh-CN"/>
        </w:rPr>
      </w:pPr>
    </w:p>
    <w:p w14:paraId="460A955F">
      <w:pPr>
        <w:snapToGrid w:val="0"/>
        <w:outlineLvl w:val="1"/>
        <w:rPr>
          <w:rFonts w:hint="eastAsia" w:ascii="宋体" w:hAnsi="宋体" w:eastAsia="宋体" w:cs="宋体"/>
          <w:b/>
          <w:bCs/>
          <w:sz w:val="21"/>
          <w:szCs w:val="21"/>
          <w:highlight w:val="none"/>
          <w:lang w:val="en-US" w:eastAsia="zh-CN"/>
        </w:rPr>
      </w:pPr>
    </w:p>
    <w:p w14:paraId="248D69FC">
      <w:pPr>
        <w:snapToGrid w:val="0"/>
        <w:outlineLvl w:val="1"/>
        <w:rPr>
          <w:rFonts w:hint="eastAsia" w:ascii="宋体" w:hAnsi="宋体" w:eastAsia="宋体" w:cs="宋体"/>
          <w:b/>
          <w:bCs/>
          <w:sz w:val="21"/>
          <w:szCs w:val="21"/>
          <w:highlight w:val="none"/>
          <w:lang w:val="en-US" w:eastAsia="zh-CN"/>
        </w:rPr>
      </w:pPr>
    </w:p>
    <w:p w14:paraId="625C7C8E">
      <w:pPr>
        <w:snapToGrid w:val="0"/>
        <w:outlineLvl w:val="1"/>
        <w:rPr>
          <w:rFonts w:hint="eastAsia" w:ascii="宋体" w:hAnsi="宋体" w:eastAsia="宋体" w:cs="宋体"/>
          <w:b/>
          <w:bCs/>
          <w:sz w:val="21"/>
          <w:szCs w:val="21"/>
          <w:highlight w:val="none"/>
          <w:lang w:val="en-US" w:eastAsia="zh-CN"/>
        </w:rPr>
      </w:pPr>
    </w:p>
    <w:p w14:paraId="04D479C6">
      <w:pPr>
        <w:snapToGrid w:val="0"/>
        <w:outlineLvl w:val="1"/>
        <w:rPr>
          <w:rFonts w:hint="eastAsia" w:ascii="宋体" w:hAnsi="宋体" w:eastAsia="宋体" w:cs="宋体"/>
          <w:b/>
          <w:bCs/>
          <w:sz w:val="21"/>
          <w:szCs w:val="21"/>
          <w:highlight w:val="none"/>
          <w:lang w:val="en-US" w:eastAsia="zh-CN"/>
        </w:rPr>
      </w:pPr>
    </w:p>
    <w:p w14:paraId="715A1687">
      <w:pPr>
        <w:snapToGrid w:val="0"/>
        <w:outlineLvl w:val="1"/>
        <w:rPr>
          <w:rFonts w:hint="eastAsia" w:ascii="宋体" w:hAnsi="宋体" w:eastAsia="宋体" w:cs="宋体"/>
          <w:b/>
          <w:bCs/>
          <w:sz w:val="21"/>
          <w:szCs w:val="21"/>
          <w:highlight w:val="none"/>
          <w:lang w:val="en-US" w:eastAsia="zh-CN"/>
        </w:rPr>
      </w:pPr>
    </w:p>
    <w:p w14:paraId="1139EDAD">
      <w:pPr>
        <w:snapToGrid w:val="0"/>
        <w:outlineLvl w:val="1"/>
        <w:rPr>
          <w:rFonts w:hint="eastAsia" w:ascii="宋体" w:hAnsi="宋体" w:eastAsia="宋体" w:cs="宋体"/>
          <w:b/>
          <w:bCs/>
          <w:sz w:val="21"/>
          <w:szCs w:val="21"/>
          <w:highlight w:val="none"/>
          <w:lang w:val="en-US" w:eastAsia="zh-CN"/>
        </w:rPr>
      </w:pPr>
    </w:p>
    <w:p w14:paraId="654FFC74">
      <w:pPr>
        <w:snapToGrid w:val="0"/>
        <w:outlineLvl w:val="1"/>
        <w:rPr>
          <w:rFonts w:hint="eastAsia" w:ascii="宋体" w:hAnsi="宋体" w:eastAsia="宋体" w:cs="宋体"/>
          <w:b/>
          <w:bCs/>
          <w:sz w:val="21"/>
          <w:szCs w:val="21"/>
          <w:highlight w:val="none"/>
          <w:lang w:val="en-US" w:eastAsia="zh-CN"/>
        </w:rPr>
      </w:pPr>
    </w:p>
    <w:p w14:paraId="22975941">
      <w:pPr>
        <w:snapToGrid w:val="0"/>
        <w:outlineLvl w:val="1"/>
        <w:rPr>
          <w:rFonts w:hint="eastAsia" w:ascii="宋体" w:hAnsi="宋体" w:eastAsia="宋体" w:cs="宋体"/>
          <w:b/>
          <w:bCs/>
          <w:sz w:val="21"/>
          <w:szCs w:val="21"/>
          <w:highlight w:val="none"/>
          <w:lang w:val="en-US" w:eastAsia="zh-CN"/>
        </w:rPr>
      </w:pPr>
    </w:p>
    <w:p w14:paraId="30407860">
      <w:pPr>
        <w:snapToGrid w:val="0"/>
        <w:outlineLvl w:val="1"/>
        <w:rPr>
          <w:rFonts w:hint="eastAsia" w:ascii="宋体" w:hAnsi="宋体" w:eastAsia="宋体" w:cs="宋体"/>
          <w:b/>
          <w:bCs/>
          <w:sz w:val="21"/>
          <w:szCs w:val="21"/>
          <w:highlight w:val="none"/>
          <w:lang w:val="en-US" w:eastAsia="zh-CN"/>
        </w:rPr>
      </w:pPr>
    </w:p>
    <w:p w14:paraId="1C750F9A">
      <w:pPr>
        <w:snapToGrid w:val="0"/>
        <w:outlineLvl w:val="1"/>
        <w:rPr>
          <w:rFonts w:hint="eastAsia" w:ascii="宋体" w:hAnsi="宋体" w:eastAsia="宋体" w:cs="宋体"/>
          <w:b/>
          <w:bCs/>
          <w:sz w:val="21"/>
          <w:szCs w:val="21"/>
          <w:highlight w:val="none"/>
          <w:lang w:val="en-US" w:eastAsia="zh-CN"/>
        </w:rPr>
      </w:pPr>
    </w:p>
    <w:p w14:paraId="37E0BAC2">
      <w:pPr>
        <w:snapToGrid w:val="0"/>
        <w:outlineLvl w:val="1"/>
        <w:rPr>
          <w:rFonts w:hint="eastAsia" w:ascii="宋体" w:hAnsi="宋体" w:eastAsia="宋体" w:cs="宋体"/>
          <w:b/>
          <w:bCs/>
          <w:sz w:val="21"/>
          <w:szCs w:val="21"/>
          <w:highlight w:val="none"/>
          <w:lang w:val="en-US" w:eastAsia="zh-CN"/>
        </w:rPr>
      </w:pPr>
    </w:p>
    <w:p w14:paraId="34244419">
      <w:pPr>
        <w:snapToGrid w:val="0"/>
        <w:outlineLvl w:val="1"/>
        <w:rPr>
          <w:rFonts w:hint="eastAsia" w:ascii="宋体" w:hAnsi="宋体" w:eastAsia="宋体" w:cs="宋体"/>
          <w:b/>
          <w:bCs/>
          <w:sz w:val="21"/>
          <w:szCs w:val="21"/>
          <w:highlight w:val="none"/>
          <w:lang w:val="en-US" w:eastAsia="zh-CN"/>
        </w:rPr>
      </w:pPr>
    </w:p>
    <w:p w14:paraId="2BDFE2D8">
      <w:pPr>
        <w:snapToGrid w:val="0"/>
        <w:outlineLvl w:val="1"/>
        <w:rPr>
          <w:rFonts w:hint="eastAsia" w:ascii="宋体" w:hAnsi="宋体" w:eastAsia="宋体" w:cs="宋体"/>
          <w:b/>
          <w:bCs/>
          <w:sz w:val="21"/>
          <w:szCs w:val="21"/>
          <w:highlight w:val="none"/>
          <w:lang w:val="en-US" w:eastAsia="zh-CN"/>
        </w:rPr>
      </w:pPr>
    </w:p>
    <w:p w14:paraId="52C52260">
      <w:pPr>
        <w:snapToGrid w:val="0"/>
        <w:outlineLvl w:val="1"/>
        <w:rPr>
          <w:rFonts w:hint="eastAsia" w:ascii="宋体" w:hAnsi="宋体" w:eastAsia="宋体" w:cs="宋体"/>
          <w:b/>
          <w:bCs/>
          <w:sz w:val="21"/>
          <w:szCs w:val="21"/>
          <w:highlight w:val="none"/>
          <w:lang w:val="en-US" w:eastAsia="zh-CN"/>
        </w:rPr>
      </w:pPr>
    </w:p>
    <w:p w14:paraId="3C0D8F3D">
      <w:pPr>
        <w:snapToGrid w:val="0"/>
        <w:outlineLvl w:val="1"/>
        <w:rPr>
          <w:rFonts w:hint="eastAsia" w:ascii="宋体" w:hAnsi="宋体" w:eastAsia="宋体" w:cs="宋体"/>
          <w:b/>
          <w:bCs/>
          <w:sz w:val="21"/>
          <w:szCs w:val="21"/>
          <w:highlight w:val="none"/>
          <w:lang w:val="en-US" w:eastAsia="zh-CN"/>
        </w:rPr>
      </w:pPr>
    </w:p>
    <w:p w14:paraId="6D799E28">
      <w:pPr>
        <w:snapToGrid w:val="0"/>
        <w:outlineLvl w:val="1"/>
        <w:rPr>
          <w:rFonts w:hint="eastAsia" w:ascii="宋体" w:hAnsi="宋体" w:eastAsia="宋体" w:cs="宋体"/>
          <w:b/>
          <w:bCs/>
          <w:sz w:val="21"/>
          <w:szCs w:val="21"/>
          <w:highlight w:val="none"/>
          <w:lang w:val="en-US" w:eastAsia="zh-CN"/>
        </w:rPr>
      </w:pPr>
    </w:p>
    <w:p w14:paraId="105F4180">
      <w:pPr>
        <w:snapToGrid w:val="0"/>
        <w:outlineLvl w:val="1"/>
        <w:rPr>
          <w:rFonts w:hint="eastAsia" w:ascii="宋体" w:hAnsi="宋体" w:eastAsia="宋体" w:cs="宋体"/>
          <w:b/>
          <w:bCs/>
          <w:sz w:val="21"/>
          <w:szCs w:val="21"/>
          <w:highlight w:val="none"/>
          <w:lang w:val="en-US" w:eastAsia="zh-CN"/>
        </w:rPr>
      </w:pPr>
    </w:p>
    <w:p w14:paraId="093E646B">
      <w:pPr>
        <w:snapToGrid w:val="0"/>
        <w:outlineLvl w:val="1"/>
        <w:rPr>
          <w:rFonts w:hint="eastAsia" w:ascii="宋体" w:hAnsi="宋体" w:eastAsia="宋体" w:cs="宋体"/>
          <w:b/>
          <w:bCs/>
          <w:sz w:val="21"/>
          <w:szCs w:val="21"/>
          <w:highlight w:val="none"/>
          <w:lang w:val="en-US" w:eastAsia="zh-CN"/>
        </w:rPr>
      </w:pPr>
    </w:p>
    <w:p w14:paraId="586285E1">
      <w:pPr>
        <w:snapToGrid w:val="0"/>
        <w:outlineLvl w:val="1"/>
        <w:rPr>
          <w:rFonts w:hint="eastAsia" w:ascii="宋体" w:hAnsi="宋体" w:eastAsia="宋体" w:cs="宋体"/>
          <w:b/>
          <w:bCs/>
          <w:sz w:val="21"/>
          <w:szCs w:val="21"/>
          <w:highlight w:val="none"/>
          <w:lang w:val="en-US" w:eastAsia="zh-CN"/>
        </w:rPr>
      </w:pPr>
    </w:p>
    <w:p w14:paraId="12082C41">
      <w:pPr>
        <w:snapToGrid w:val="0"/>
        <w:outlineLvl w:val="1"/>
        <w:rPr>
          <w:rFonts w:hint="eastAsia" w:ascii="宋体" w:hAnsi="宋体" w:eastAsia="宋体" w:cs="宋体"/>
          <w:b/>
          <w:bCs/>
          <w:sz w:val="21"/>
          <w:szCs w:val="21"/>
          <w:highlight w:val="none"/>
          <w:lang w:val="en-US" w:eastAsia="zh-CN"/>
        </w:rPr>
      </w:pPr>
    </w:p>
    <w:p w14:paraId="7C383C4F">
      <w:pPr>
        <w:snapToGrid w:val="0"/>
        <w:outlineLvl w:val="1"/>
        <w:rPr>
          <w:rFonts w:hint="eastAsia" w:ascii="宋体" w:hAnsi="宋体" w:eastAsia="宋体" w:cs="宋体"/>
          <w:b/>
          <w:bCs/>
          <w:sz w:val="21"/>
          <w:szCs w:val="21"/>
          <w:highlight w:val="none"/>
          <w:lang w:val="en-US" w:eastAsia="zh-CN"/>
        </w:rPr>
      </w:pPr>
    </w:p>
    <w:p w14:paraId="37D57816">
      <w:pPr>
        <w:snapToGrid w:val="0"/>
        <w:outlineLvl w:val="1"/>
        <w:rPr>
          <w:rFonts w:hint="eastAsia" w:ascii="宋体" w:hAnsi="宋体" w:eastAsia="宋体" w:cs="宋体"/>
          <w:b/>
          <w:bCs/>
          <w:sz w:val="21"/>
          <w:szCs w:val="21"/>
          <w:highlight w:val="none"/>
          <w:lang w:val="en-US" w:eastAsia="zh-CN"/>
        </w:rPr>
      </w:pPr>
    </w:p>
    <w:p w14:paraId="76A9A3B6">
      <w:pPr>
        <w:snapToGrid w:val="0"/>
        <w:outlineLvl w:val="1"/>
        <w:rPr>
          <w:rFonts w:hint="eastAsia" w:ascii="宋体" w:hAnsi="宋体" w:eastAsia="宋体" w:cs="宋体"/>
          <w:b/>
          <w:bCs/>
          <w:sz w:val="21"/>
          <w:szCs w:val="21"/>
          <w:highlight w:val="none"/>
          <w:lang w:val="en-US" w:eastAsia="zh-CN"/>
        </w:rPr>
      </w:pPr>
    </w:p>
    <w:p w14:paraId="1EFE1764">
      <w:pPr>
        <w:snapToGrid w:val="0"/>
        <w:outlineLvl w:val="1"/>
        <w:rPr>
          <w:rFonts w:hint="eastAsia" w:ascii="宋体" w:hAnsi="宋体" w:eastAsia="宋体" w:cs="宋体"/>
          <w:b/>
          <w:bCs/>
          <w:sz w:val="21"/>
          <w:szCs w:val="21"/>
          <w:highlight w:val="none"/>
          <w:lang w:val="en-US" w:eastAsia="zh-CN"/>
        </w:rPr>
      </w:pPr>
    </w:p>
    <w:p w14:paraId="36941B1D">
      <w:pPr>
        <w:snapToGrid w:val="0"/>
        <w:outlineLvl w:val="1"/>
        <w:rPr>
          <w:rFonts w:hint="eastAsia" w:ascii="宋体" w:hAnsi="宋体" w:eastAsia="宋体" w:cs="宋体"/>
          <w:b/>
          <w:bCs/>
          <w:sz w:val="21"/>
          <w:szCs w:val="21"/>
          <w:highlight w:val="none"/>
          <w:lang w:val="en-US" w:eastAsia="zh-CN"/>
        </w:rPr>
      </w:pPr>
    </w:p>
    <w:p w14:paraId="18EEA103">
      <w:pPr>
        <w:snapToGrid w:val="0"/>
        <w:outlineLvl w:val="1"/>
        <w:rPr>
          <w:rFonts w:hint="eastAsia" w:ascii="宋体" w:hAnsi="宋体" w:eastAsia="宋体" w:cs="宋体"/>
          <w:b/>
          <w:bCs/>
          <w:sz w:val="21"/>
          <w:szCs w:val="21"/>
          <w:highlight w:val="none"/>
          <w:lang w:val="en-US" w:eastAsia="zh-CN"/>
        </w:rPr>
      </w:pPr>
    </w:p>
    <w:p w14:paraId="15A8210C">
      <w:pPr>
        <w:snapToGrid w:val="0"/>
        <w:outlineLvl w:val="1"/>
        <w:rPr>
          <w:rFonts w:hint="eastAsia" w:ascii="宋体" w:hAnsi="宋体" w:eastAsia="宋体" w:cs="宋体"/>
          <w:b/>
          <w:bCs/>
          <w:sz w:val="21"/>
          <w:szCs w:val="21"/>
          <w:highlight w:val="none"/>
          <w:lang w:val="en-US" w:eastAsia="zh-CN"/>
        </w:rPr>
      </w:pPr>
    </w:p>
    <w:p w14:paraId="05563AC7">
      <w:pPr>
        <w:snapToGrid w:val="0"/>
        <w:outlineLvl w:val="1"/>
        <w:rPr>
          <w:rFonts w:hint="eastAsia" w:ascii="宋体" w:hAnsi="宋体" w:eastAsia="宋体" w:cs="宋体"/>
          <w:b/>
          <w:bCs/>
          <w:sz w:val="21"/>
          <w:szCs w:val="21"/>
          <w:highlight w:val="none"/>
          <w:lang w:val="en-US" w:eastAsia="zh-CN"/>
        </w:rPr>
      </w:pPr>
    </w:p>
    <w:p w14:paraId="3756F342">
      <w:pPr>
        <w:snapToGrid w:val="0"/>
        <w:outlineLvl w:val="1"/>
        <w:rPr>
          <w:rFonts w:hint="eastAsia" w:ascii="宋体" w:hAnsi="宋体" w:eastAsia="宋体" w:cs="宋体"/>
          <w:b/>
          <w:bCs/>
          <w:sz w:val="21"/>
          <w:szCs w:val="21"/>
          <w:highlight w:val="none"/>
          <w:lang w:val="en-US" w:eastAsia="zh-CN"/>
        </w:rPr>
      </w:pPr>
    </w:p>
    <w:p w14:paraId="37CD963B">
      <w:pPr>
        <w:snapToGrid w:val="0"/>
        <w:outlineLvl w:val="1"/>
        <w:rPr>
          <w:rFonts w:hint="eastAsia" w:ascii="宋体" w:hAnsi="宋体" w:eastAsia="宋体" w:cs="宋体"/>
          <w:b/>
          <w:bCs/>
          <w:sz w:val="21"/>
          <w:szCs w:val="21"/>
          <w:highlight w:val="none"/>
          <w:lang w:val="en-US" w:eastAsia="zh-CN"/>
        </w:rPr>
      </w:pPr>
    </w:p>
    <w:p w14:paraId="18EBE50B">
      <w:pPr>
        <w:snapToGrid w:val="0"/>
        <w:outlineLvl w:val="1"/>
        <w:rPr>
          <w:rFonts w:hint="eastAsia" w:ascii="宋体" w:hAnsi="宋体" w:eastAsia="宋体" w:cs="宋体"/>
          <w:b/>
          <w:bCs/>
          <w:sz w:val="21"/>
          <w:szCs w:val="21"/>
          <w:highlight w:val="none"/>
          <w:lang w:val="en-US" w:eastAsia="zh-CN"/>
        </w:rPr>
      </w:pPr>
    </w:p>
    <w:p w14:paraId="390639FF">
      <w:pPr>
        <w:snapToGrid w:val="0"/>
        <w:outlineLvl w:val="1"/>
        <w:rPr>
          <w:rFonts w:hint="eastAsia" w:ascii="宋体" w:hAnsi="宋体" w:eastAsia="宋体" w:cs="宋体"/>
          <w:b/>
          <w:bCs/>
          <w:sz w:val="21"/>
          <w:szCs w:val="21"/>
          <w:highlight w:val="none"/>
          <w:lang w:val="en-US" w:eastAsia="zh-CN"/>
        </w:rPr>
      </w:pPr>
    </w:p>
    <w:p w14:paraId="5C4F4208">
      <w:pPr>
        <w:snapToGrid w:val="0"/>
        <w:outlineLvl w:val="1"/>
        <w:rPr>
          <w:rFonts w:hint="eastAsia" w:ascii="宋体" w:hAnsi="宋体" w:eastAsia="宋体" w:cs="宋体"/>
          <w:b/>
          <w:bCs/>
          <w:sz w:val="21"/>
          <w:szCs w:val="21"/>
          <w:highlight w:val="none"/>
          <w:lang w:val="en-US" w:eastAsia="zh-CN"/>
        </w:rPr>
      </w:pPr>
    </w:p>
    <w:p w14:paraId="7534CA27">
      <w:pPr>
        <w:snapToGrid w:val="0"/>
        <w:outlineLvl w:val="1"/>
        <w:rPr>
          <w:rFonts w:hint="eastAsia" w:ascii="宋体" w:hAnsi="宋体" w:eastAsia="宋体" w:cs="宋体"/>
          <w:b/>
          <w:bCs/>
          <w:sz w:val="21"/>
          <w:szCs w:val="21"/>
          <w:highlight w:val="none"/>
          <w:lang w:val="en-US" w:eastAsia="zh-CN"/>
        </w:rPr>
      </w:pPr>
    </w:p>
    <w:p w14:paraId="09F9F7F8">
      <w:pPr>
        <w:snapToGrid w:val="0"/>
        <w:outlineLvl w:val="1"/>
        <w:rPr>
          <w:rFonts w:hint="eastAsia" w:ascii="宋体" w:hAnsi="宋体" w:eastAsia="宋体" w:cs="宋体"/>
          <w:b/>
          <w:bCs/>
          <w:sz w:val="21"/>
          <w:szCs w:val="21"/>
          <w:highlight w:val="none"/>
          <w:lang w:val="en-US" w:eastAsia="zh-CN"/>
        </w:rPr>
      </w:pPr>
    </w:p>
    <w:p w14:paraId="2A2A2692">
      <w:pPr>
        <w:snapToGrid w:val="0"/>
        <w:outlineLvl w:val="1"/>
        <w:rPr>
          <w:rFonts w:hint="eastAsia" w:ascii="宋体" w:hAnsi="宋体" w:eastAsia="宋体" w:cs="宋体"/>
          <w:b/>
          <w:bCs/>
          <w:sz w:val="21"/>
          <w:szCs w:val="21"/>
          <w:highlight w:val="none"/>
          <w:lang w:val="en-US" w:eastAsia="zh-CN"/>
        </w:rPr>
      </w:pPr>
    </w:p>
    <w:p w14:paraId="2B3FB2CD">
      <w:pPr>
        <w:snapToGrid w:val="0"/>
        <w:outlineLvl w:val="1"/>
        <w:rPr>
          <w:rFonts w:hint="eastAsia" w:ascii="宋体" w:hAnsi="宋体" w:eastAsia="宋体" w:cs="宋体"/>
          <w:b/>
          <w:bCs/>
          <w:sz w:val="21"/>
          <w:szCs w:val="21"/>
          <w:highlight w:val="none"/>
          <w:lang w:val="en-US" w:eastAsia="zh-CN"/>
        </w:rPr>
      </w:pPr>
    </w:p>
    <w:p w14:paraId="0A85DBF0">
      <w:pPr>
        <w:snapToGrid w:val="0"/>
        <w:outlineLvl w:val="1"/>
        <w:rPr>
          <w:rFonts w:hint="eastAsia" w:ascii="宋体" w:hAnsi="宋体" w:eastAsia="宋体" w:cs="宋体"/>
          <w:b/>
          <w:bCs/>
          <w:sz w:val="21"/>
          <w:szCs w:val="21"/>
          <w:highlight w:val="none"/>
          <w:lang w:val="en-US" w:eastAsia="zh-CN"/>
        </w:rPr>
      </w:pPr>
    </w:p>
    <w:p w14:paraId="309BDA81">
      <w:pPr>
        <w:snapToGrid w:val="0"/>
        <w:outlineLvl w:val="1"/>
        <w:rPr>
          <w:rFonts w:hint="eastAsia" w:ascii="宋体" w:hAnsi="宋体" w:eastAsia="宋体" w:cs="宋体"/>
          <w:b/>
          <w:bCs/>
          <w:sz w:val="21"/>
          <w:szCs w:val="21"/>
          <w:highlight w:val="none"/>
          <w:lang w:val="en-US" w:eastAsia="zh-CN"/>
        </w:rPr>
      </w:pPr>
    </w:p>
    <w:p w14:paraId="2229E91D">
      <w:pPr>
        <w:snapToGrid w:val="0"/>
        <w:outlineLvl w:val="1"/>
        <w:rPr>
          <w:rFonts w:hint="eastAsia" w:ascii="宋体" w:hAnsi="宋体" w:eastAsia="宋体" w:cs="宋体"/>
          <w:b/>
          <w:bCs/>
          <w:sz w:val="21"/>
          <w:szCs w:val="21"/>
          <w:highlight w:val="none"/>
          <w:lang w:val="en-US" w:eastAsia="zh-CN"/>
        </w:rPr>
      </w:pPr>
    </w:p>
    <w:p w14:paraId="03D10895">
      <w:pPr>
        <w:snapToGrid w:val="0"/>
        <w:outlineLvl w:val="1"/>
        <w:rPr>
          <w:rFonts w:hint="eastAsia" w:ascii="宋体" w:hAnsi="宋体" w:eastAsia="宋体" w:cs="宋体"/>
          <w:b/>
          <w:bCs/>
          <w:sz w:val="21"/>
          <w:szCs w:val="21"/>
          <w:highlight w:val="none"/>
          <w:lang w:val="en-US" w:eastAsia="zh-CN"/>
        </w:rPr>
      </w:pPr>
      <w:r>
        <w:rPr>
          <w:rFonts w:hint="eastAsia" w:ascii="宋体" w:hAnsi="宋体" w:eastAsia="宋体" w:cs="宋体"/>
          <w:b/>
          <w:bCs/>
          <w:color w:val="auto"/>
          <w:szCs w:val="21"/>
          <w:highlight w:val="none"/>
          <w:lang w:val="en-US" w:eastAsia="zh-CN"/>
        </w:rPr>
        <w:t>*</w:t>
      </w:r>
      <w:r>
        <w:rPr>
          <w:rFonts w:hint="eastAsia" w:ascii="宋体" w:hAnsi="宋体" w:eastAsia="宋体" w:cs="宋体"/>
          <w:b/>
          <w:bCs/>
          <w:sz w:val="21"/>
          <w:szCs w:val="21"/>
          <w:highlight w:val="none"/>
          <w:lang w:val="en-US" w:eastAsia="zh-CN"/>
        </w:rPr>
        <w:t>附件10：</w:t>
      </w:r>
    </w:p>
    <w:p w14:paraId="0B5FB4AA">
      <w:pPr>
        <w:pStyle w:val="3"/>
        <w:spacing w:line="360" w:lineRule="auto"/>
        <w:jc w:val="center"/>
        <w:rPr>
          <w:rFonts w:ascii="宋体" w:hAnsi="宋体" w:cs="宋体"/>
          <w:sz w:val="30"/>
          <w:szCs w:val="30"/>
        </w:rPr>
      </w:pPr>
      <w:bookmarkStart w:id="52" w:name="_Toc101567010"/>
      <w:r>
        <w:rPr>
          <w:rFonts w:hint="eastAsia" w:ascii="宋体" w:hAnsi="宋体" w:cs="宋体"/>
          <w:sz w:val="30"/>
          <w:szCs w:val="30"/>
        </w:rPr>
        <w:t>诚信</w:t>
      </w:r>
      <w:r>
        <w:rPr>
          <w:rFonts w:ascii="宋体" w:hAnsi="宋体" w:cs="宋体"/>
          <w:sz w:val="30"/>
          <w:szCs w:val="30"/>
        </w:rPr>
        <w:t>报价承诺书</w:t>
      </w:r>
      <w:bookmarkEnd w:id="52"/>
    </w:p>
    <w:p w14:paraId="3728CB97">
      <w:pPr>
        <w:spacing w:line="360" w:lineRule="auto"/>
        <w:rPr>
          <w:rFonts w:ascii="宋体" w:hAnsi="宋体"/>
          <w:szCs w:val="30"/>
        </w:rPr>
      </w:pPr>
      <w:r>
        <w:rPr>
          <w:rFonts w:hint="eastAsia" w:ascii="宋体" w:hAnsi="宋体"/>
          <w:szCs w:val="21"/>
          <w:u w:val="single"/>
        </w:rPr>
        <w:t>眉山琏升光伏科技有限公司</w:t>
      </w:r>
      <w:r>
        <w:rPr>
          <w:rFonts w:ascii="宋体" w:hAnsi="宋体"/>
          <w:szCs w:val="30"/>
        </w:rPr>
        <w:t>：</w:t>
      </w:r>
    </w:p>
    <w:p w14:paraId="49D59734">
      <w:pPr>
        <w:spacing w:line="360" w:lineRule="auto"/>
        <w:ind w:firstLine="420" w:firstLineChars="200"/>
        <w:rPr>
          <w:rFonts w:ascii="宋体" w:hAnsi="宋体"/>
          <w:szCs w:val="30"/>
        </w:rPr>
      </w:pPr>
      <w:r>
        <w:rPr>
          <w:rFonts w:hint="eastAsia" w:ascii="宋体" w:hAnsi="宋体"/>
          <w:szCs w:val="30"/>
        </w:rPr>
        <w:t>关于</w:t>
      </w:r>
      <w:r>
        <w:rPr>
          <w:rFonts w:hint="eastAsia" w:hAnsi="宋体"/>
          <w:color w:val="000000"/>
          <w:u w:val="single"/>
        </w:rPr>
        <w:t>眉山琏升光伏科技有限公司新能源</w:t>
      </w:r>
      <w:r>
        <w:rPr>
          <w:rFonts w:hint="eastAsia" w:hAnsi="宋体"/>
          <w:color w:val="000000"/>
          <w:u w:val="single"/>
          <w:lang w:val="en-US" w:eastAsia="zh-CN"/>
        </w:rPr>
        <w:t>1</w:t>
      </w:r>
      <w:r>
        <w:rPr>
          <w:rFonts w:hint="eastAsia" w:hAnsi="宋体"/>
          <w:color w:val="000000"/>
          <w:u w:val="single"/>
        </w:rPr>
        <w:t>GW高效异质结</w:t>
      </w:r>
      <w:r>
        <w:rPr>
          <w:rFonts w:hint="eastAsia" w:hAnsi="宋体"/>
          <w:color w:val="000000"/>
          <w:u w:val="single"/>
          <w:lang w:val="en-US" w:eastAsia="zh-CN"/>
        </w:rPr>
        <w:t>组件</w:t>
      </w:r>
      <w:r>
        <w:rPr>
          <w:rFonts w:hint="eastAsia" w:hAnsi="宋体"/>
          <w:color w:val="000000"/>
          <w:u w:val="single"/>
        </w:rPr>
        <w:t>项目</w:t>
      </w:r>
      <w:r>
        <w:rPr>
          <w:rFonts w:hint="eastAsia" w:hAnsi="宋体" w:cstheme="minorBidi"/>
          <w:color w:val="000000"/>
          <w:u w:val="single"/>
          <w:lang w:val="en-US" w:eastAsia="zh-CN"/>
        </w:rPr>
        <w:t>无损激光划片机设备项目</w:t>
      </w:r>
      <w:r>
        <w:rPr>
          <w:rFonts w:ascii="宋体" w:hAnsi="宋体"/>
          <w:szCs w:val="30"/>
        </w:rPr>
        <w:t>，</w:t>
      </w:r>
      <w:r>
        <w:rPr>
          <w:rFonts w:hint="eastAsia" w:ascii="宋体" w:hAnsi="宋体"/>
          <w:szCs w:val="30"/>
        </w:rPr>
        <w:t>我司在此</w:t>
      </w:r>
      <w:r>
        <w:rPr>
          <w:rFonts w:ascii="宋体" w:hAnsi="宋体"/>
          <w:szCs w:val="30"/>
        </w:rPr>
        <w:t>承诺，关于该项目项下的</w:t>
      </w:r>
      <w:r>
        <w:rPr>
          <w:rFonts w:hint="eastAsia" w:ascii="宋体" w:hAnsi="宋体"/>
          <w:szCs w:val="30"/>
        </w:rPr>
        <w:t>所有投标</w:t>
      </w:r>
      <w:r>
        <w:rPr>
          <w:rFonts w:ascii="宋体" w:hAnsi="宋体"/>
          <w:szCs w:val="30"/>
        </w:rPr>
        <w:t>报价，均是</w:t>
      </w:r>
      <w:r>
        <w:rPr>
          <w:rFonts w:hint="eastAsia" w:ascii="宋体" w:hAnsi="宋体"/>
          <w:szCs w:val="30"/>
        </w:rPr>
        <w:t>我司</w:t>
      </w:r>
      <w:r>
        <w:rPr>
          <w:rFonts w:ascii="宋体" w:hAnsi="宋体"/>
          <w:szCs w:val="30"/>
        </w:rPr>
        <w:t>通过合理</w:t>
      </w:r>
      <w:r>
        <w:rPr>
          <w:rFonts w:hint="eastAsia" w:ascii="宋体" w:hAnsi="宋体"/>
          <w:szCs w:val="30"/>
        </w:rPr>
        <w:t>成本</w:t>
      </w:r>
      <w:r>
        <w:rPr>
          <w:rFonts w:ascii="宋体" w:hAnsi="宋体"/>
          <w:szCs w:val="30"/>
        </w:rPr>
        <w:t>测算后的</w:t>
      </w:r>
      <w:r>
        <w:rPr>
          <w:rFonts w:hint="eastAsia" w:ascii="宋体" w:hAnsi="宋体"/>
          <w:szCs w:val="30"/>
        </w:rPr>
        <w:t>综合</w:t>
      </w:r>
      <w:r>
        <w:rPr>
          <w:rFonts w:ascii="宋体" w:hAnsi="宋体"/>
          <w:szCs w:val="30"/>
        </w:rPr>
        <w:t>报价，</w:t>
      </w:r>
      <w:r>
        <w:rPr>
          <w:rFonts w:hint="eastAsia" w:ascii="宋体" w:hAnsi="宋体"/>
          <w:szCs w:val="30"/>
        </w:rPr>
        <w:t>所有报价</w:t>
      </w:r>
      <w:r>
        <w:rPr>
          <w:rFonts w:ascii="宋体" w:hAnsi="宋体"/>
          <w:szCs w:val="30"/>
        </w:rPr>
        <w:t>均</w:t>
      </w:r>
      <w:r>
        <w:rPr>
          <w:rFonts w:hint="eastAsia" w:ascii="宋体" w:hAnsi="宋体"/>
          <w:szCs w:val="30"/>
        </w:rPr>
        <w:t>不属于法律</w:t>
      </w:r>
      <w:r>
        <w:rPr>
          <w:rFonts w:ascii="宋体" w:hAnsi="宋体"/>
          <w:szCs w:val="30"/>
        </w:rPr>
        <w:t>规定的明显</w:t>
      </w:r>
      <w:r>
        <w:rPr>
          <w:rFonts w:hint="eastAsia" w:ascii="宋体" w:hAnsi="宋体"/>
          <w:szCs w:val="30"/>
        </w:rPr>
        <w:t>不合理</w:t>
      </w:r>
      <w:r>
        <w:rPr>
          <w:rFonts w:ascii="宋体" w:hAnsi="宋体"/>
          <w:szCs w:val="30"/>
        </w:rPr>
        <w:t>低价</w:t>
      </w:r>
      <w:r>
        <w:rPr>
          <w:rFonts w:hint="eastAsia" w:ascii="宋体" w:hAnsi="宋体"/>
          <w:szCs w:val="30"/>
          <w:lang w:val="en-US" w:eastAsia="zh-CN"/>
        </w:rPr>
        <w:t>或高价</w:t>
      </w:r>
      <w:r>
        <w:rPr>
          <w:rFonts w:ascii="宋体" w:hAnsi="宋体"/>
          <w:szCs w:val="30"/>
        </w:rPr>
        <w:t>，如招标人</w:t>
      </w:r>
      <w:r>
        <w:rPr>
          <w:rFonts w:hint="eastAsia" w:ascii="宋体" w:hAnsi="宋体"/>
          <w:szCs w:val="30"/>
        </w:rPr>
        <w:t>对</w:t>
      </w:r>
      <w:r>
        <w:rPr>
          <w:rFonts w:ascii="宋体" w:hAnsi="宋体"/>
          <w:szCs w:val="30"/>
        </w:rPr>
        <w:t>我司的投标报价</w:t>
      </w:r>
      <w:r>
        <w:rPr>
          <w:rFonts w:hint="eastAsia" w:ascii="宋体" w:hAnsi="宋体"/>
          <w:szCs w:val="30"/>
        </w:rPr>
        <w:t>存在</w:t>
      </w:r>
      <w:r>
        <w:rPr>
          <w:rFonts w:ascii="宋体" w:hAnsi="宋体"/>
          <w:szCs w:val="30"/>
        </w:rPr>
        <w:t>疑问，我司应当给予</w:t>
      </w:r>
      <w:r>
        <w:rPr>
          <w:rFonts w:hint="eastAsia" w:ascii="宋体" w:hAnsi="宋体"/>
          <w:szCs w:val="30"/>
        </w:rPr>
        <w:t>书面</w:t>
      </w:r>
      <w:r>
        <w:rPr>
          <w:rFonts w:ascii="宋体" w:hAnsi="宋体"/>
          <w:szCs w:val="30"/>
        </w:rPr>
        <w:t>合理说明</w:t>
      </w:r>
      <w:r>
        <w:rPr>
          <w:rFonts w:hint="eastAsia" w:ascii="宋体" w:hAnsi="宋体"/>
          <w:szCs w:val="30"/>
        </w:rPr>
        <w:t>。合理说明应当</w:t>
      </w:r>
      <w:r>
        <w:rPr>
          <w:rFonts w:ascii="宋体" w:hAnsi="宋体"/>
          <w:szCs w:val="30"/>
        </w:rPr>
        <w:t>通过</w:t>
      </w:r>
      <w:r>
        <w:rPr>
          <w:rFonts w:hint="eastAsia" w:ascii="宋体" w:hAnsi="宋体"/>
          <w:szCs w:val="30"/>
        </w:rPr>
        <w:t>电子邮件或纸质回函的方式做出</w:t>
      </w:r>
      <w:r>
        <w:rPr>
          <w:rFonts w:ascii="宋体" w:hAnsi="宋体"/>
          <w:szCs w:val="30"/>
        </w:rPr>
        <w:t>。</w:t>
      </w:r>
      <w:r>
        <w:rPr>
          <w:rFonts w:hint="eastAsia" w:ascii="宋体" w:hAnsi="宋体"/>
          <w:szCs w:val="30"/>
        </w:rPr>
        <w:t>如我司在</w:t>
      </w:r>
      <w:r>
        <w:rPr>
          <w:rFonts w:ascii="宋体" w:hAnsi="宋体"/>
          <w:szCs w:val="30"/>
        </w:rPr>
        <w:t>招标人给出的合理期限内</w:t>
      </w:r>
      <w:r>
        <w:rPr>
          <w:rFonts w:hint="eastAsia" w:ascii="宋体" w:hAnsi="宋体"/>
          <w:szCs w:val="30"/>
        </w:rPr>
        <w:t>不能给出书面合理说明的，招标人可以</w:t>
      </w:r>
      <w:r>
        <w:rPr>
          <w:rFonts w:ascii="宋体" w:hAnsi="宋体"/>
          <w:szCs w:val="30"/>
        </w:rPr>
        <w:t>将其</w:t>
      </w:r>
      <w:r>
        <w:rPr>
          <w:rFonts w:hint="eastAsia" w:ascii="宋体" w:hAnsi="宋体"/>
          <w:szCs w:val="30"/>
        </w:rPr>
        <w:t>作为无效标处理。</w:t>
      </w:r>
    </w:p>
    <w:p w14:paraId="2CE056C2">
      <w:pPr>
        <w:spacing w:line="360" w:lineRule="auto"/>
        <w:ind w:firstLine="420" w:firstLineChars="200"/>
        <w:rPr>
          <w:rFonts w:ascii="宋体" w:hAnsi="宋体"/>
          <w:szCs w:val="30"/>
        </w:rPr>
      </w:pPr>
      <w:r>
        <w:rPr>
          <w:rFonts w:hint="eastAsia" w:ascii="宋体" w:hAnsi="宋体"/>
          <w:szCs w:val="30"/>
        </w:rPr>
        <w:t>我司</w:t>
      </w:r>
      <w:r>
        <w:rPr>
          <w:rFonts w:ascii="宋体" w:hAnsi="宋体"/>
          <w:szCs w:val="30"/>
        </w:rPr>
        <w:t>在此承诺，</w:t>
      </w:r>
      <w:r>
        <w:rPr>
          <w:rFonts w:hint="eastAsia" w:ascii="宋体" w:hAnsi="宋体"/>
          <w:szCs w:val="30"/>
        </w:rPr>
        <w:t>如我司中标</w:t>
      </w:r>
      <w:r>
        <w:rPr>
          <w:rFonts w:ascii="宋体" w:hAnsi="宋体"/>
          <w:szCs w:val="30"/>
        </w:rPr>
        <w:t>，在</w:t>
      </w:r>
      <w:r>
        <w:rPr>
          <w:rFonts w:hint="eastAsia" w:ascii="宋体" w:hAnsi="宋体"/>
          <w:szCs w:val="30"/>
        </w:rPr>
        <w:t>履约</w:t>
      </w:r>
      <w:r>
        <w:rPr>
          <w:rFonts w:ascii="宋体" w:hAnsi="宋体"/>
          <w:szCs w:val="30"/>
        </w:rPr>
        <w:t>过程中</w:t>
      </w:r>
      <w:r>
        <w:rPr>
          <w:rFonts w:hint="eastAsia" w:ascii="宋体" w:hAnsi="宋体"/>
          <w:szCs w:val="30"/>
        </w:rPr>
        <w:t>，如</w:t>
      </w:r>
      <w:r>
        <w:rPr>
          <w:rFonts w:ascii="宋体" w:hAnsi="宋体"/>
          <w:szCs w:val="30"/>
        </w:rPr>
        <w:t>因我司</w:t>
      </w:r>
      <w:r>
        <w:rPr>
          <w:rFonts w:hint="eastAsia" w:ascii="宋体" w:hAnsi="宋体"/>
          <w:szCs w:val="30"/>
        </w:rPr>
        <w:t>产品</w:t>
      </w:r>
      <w:r>
        <w:rPr>
          <w:rFonts w:ascii="宋体" w:hAnsi="宋体"/>
          <w:szCs w:val="30"/>
        </w:rPr>
        <w:t>（</w:t>
      </w:r>
      <w:r>
        <w:rPr>
          <w:rFonts w:hint="eastAsia" w:ascii="宋体" w:hAnsi="宋体"/>
          <w:szCs w:val="30"/>
        </w:rPr>
        <w:t>工程</w:t>
      </w:r>
      <w:r>
        <w:rPr>
          <w:rFonts w:ascii="宋体" w:hAnsi="宋体"/>
          <w:szCs w:val="30"/>
        </w:rPr>
        <w:t>）</w:t>
      </w:r>
      <w:r>
        <w:rPr>
          <w:rFonts w:hint="eastAsia" w:ascii="宋体" w:hAnsi="宋体"/>
          <w:szCs w:val="30"/>
        </w:rPr>
        <w:t>质量不合格</w:t>
      </w:r>
      <w:r>
        <w:rPr>
          <w:rFonts w:ascii="宋体" w:hAnsi="宋体"/>
          <w:szCs w:val="30"/>
        </w:rPr>
        <w:t>或不能诚信履约</w:t>
      </w:r>
      <w:r>
        <w:rPr>
          <w:rFonts w:hint="eastAsia" w:ascii="宋体" w:hAnsi="宋体"/>
          <w:szCs w:val="30"/>
        </w:rPr>
        <w:t>给招标人或其他第三人造成任何损失</w:t>
      </w:r>
      <w:r>
        <w:rPr>
          <w:rFonts w:ascii="宋体" w:hAnsi="宋体"/>
          <w:szCs w:val="30"/>
        </w:rPr>
        <w:t>，均由我</w:t>
      </w:r>
      <w:r>
        <w:rPr>
          <w:rFonts w:hint="eastAsia" w:ascii="宋体" w:hAnsi="宋体"/>
          <w:szCs w:val="30"/>
        </w:rPr>
        <w:t>司</w:t>
      </w:r>
      <w:r>
        <w:rPr>
          <w:rFonts w:ascii="宋体" w:hAnsi="宋体"/>
          <w:szCs w:val="30"/>
        </w:rPr>
        <w:t>承担。</w:t>
      </w:r>
    </w:p>
    <w:p w14:paraId="0C6556F2">
      <w:pPr>
        <w:spacing w:line="360" w:lineRule="auto"/>
        <w:ind w:firstLine="420" w:firstLineChars="200"/>
        <w:rPr>
          <w:rFonts w:ascii="宋体" w:hAnsi="宋体"/>
          <w:szCs w:val="30"/>
        </w:rPr>
      </w:pPr>
    </w:p>
    <w:p w14:paraId="6EF85672">
      <w:pPr>
        <w:spacing w:line="360" w:lineRule="auto"/>
        <w:ind w:firstLine="420" w:firstLineChars="200"/>
        <w:rPr>
          <w:rFonts w:ascii="宋体" w:hAnsi="宋体"/>
          <w:szCs w:val="30"/>
        </w:rPr>
      </w:pPr>
    </w:p>
    <w:p w14:paraId="1712DF17">
      <w:pPr>
        <w:spacing w:line="360" w:lineRule="auto"/>
        <w:ind w:firstLine="420" w:firstLineChars="200"/>
        <w:rPr>
          <w:rFonts w:ascii="宋体" w:hAnsi="宋体"/>
          <w:szCs w:val="30"/>
        </w:rPr>
      </w:pPr>
    </w:p>
    <w:p w14:paraId="401F85D6">
      <w:pPr>
        <w:spacing w:line="360" w:lineRule="auto"/>
        <w:ind w:firstLine="420" w:firstLineChars="200"/>
        <w:rPr>
          <w:rFonts w:ascii="宋体" w:hAnsi="宋体"/>
          <w:szCs w:val="30"/>
        </w:rPr>
      </w:pPr>
    </w:p>
    <w:p w14:paraId="71E0D1B4">
      <w:pPr>
        <w:spacing w:line="360" w:lineRule="auto"/>
        <w:ind w:firstLine="420" w:firstLineChars="200"/>
        <w:rPr>
          <w:rFonts w:hint="eastAsia" w:ascii="宋体" w:hAnsi="宋体"/>
          <w:szCs w:val="30"/>
        </w:rPr>
      </w:pPr>
    </w:p>
    <w:p w14:paraId="5CB6C40C">
      <w:pPr>
        <w:spacing w:line="360" w:lineRule="auto"/>
        <w:ind w:firstLine="420" w:firstLineChars="200"/>
        <w:rPr>
          <w:rFonts w:ascii="宋体" w:hAnsi="宋体"/>
          <w:szCs w:val="30"/>
        </w:rPr>
      </w:pPr>
      <w:r>
        <w:rPr>
          <w:rFonts w:hint="eastAsia" w:ascii="宋体" w:hAnsi="宋体"/>
          <w:szCs w:val="30"/>
        </w:rPr>
        <w:t xml:space="preserve">                          </w:t>
      </w:r>
      <w:r>
        <w:rPr>
          <w:rFonts w:ascii="宋体" w:hAnsi="宋体"/>
          <w:szCs w:val="30"/>
        </w:rPr>
        <w:t xml:space="preserve">                    </w:t>
      </w:r>
      <w:r>
        <w:rPr>
          <w:rFonts w:hint="eastAsia" w:ascii="宋体" w:hAnsi="宋体"/>
          <w:szCs w:val="30"/>
        </w:rPr>
        <w:t xml:space="preserve"> 投标人</w:t>
      </w:r>
      <w:r>
        <w:rPr>
          <w:rFonts w:ascii="宋体" w:hAnsi="宋体"/>
          <w:szCs w:val="30"/>
        </w:rPr>
        <w:t>：</w:t>
      </w:r>
    </w:p>
    <w:p w14:paraId="040A323F">
      <w:pPr>
        <w:spacing w:line="360" w:lineRule="auto"/>
        <w:ind w:firstLine="420" w:firstLineChars="200"/>
        <w:rPr>
          <w:rFonts w:ascii="宋体" w:hAnsi="宋体"/>
          <w:szCs w:val="30"/>
        </w:rPr>
      </w:pPr>
      <w:r>
        <w:rPr>
          <w:rFonts w:hint="eastAsia" w:ascii="宋体" w:hAnsi="宋体"/>
          <w:szCs w:val="30"/>
        </w:rPr>
        <w:t xml:space="preserve">                        </w:t>
      </w:r>
      <w:r>
        <w:rPr>
          <w:rFonts w:ascii="宋体" w:hAnsi="宋体"/>
          <w:szCs w:val="30"/>
        </w:rPr>
        <w:t xml:space="preserve">                    </w:t>
      </w:r>
      <w:r>
        <w:rPr>
          <w:rFonts w:hint="eastAsia" w:ascii="宋体" w:hAnsi="宋体"/>
          <w:szCs w:val="30"/>
        </w:rPr>
        <w:t xml:space="preserve">   日期</w:t>
      </w:r>
      <w:r>
        <w:rPr>
          <w:rFonts w:ascii="宋体" w:hAnsi="宋体"/>
          <w:szCs w:val="30"/>
        </w:rPr>
        <w:t>：</w:t>
      </w:r>
      <w:r>
        <w:rPr>
          <w:rFonts w:hint="eastAsia" w:ascii="宋体" w:hAnsi="宋体"/>
          <w:color w:val="auto"/>
          <w:szCs w:val="30"/>
          <w:highlight w:val="none"/>
          <w:lang w:eastAsia="zh-CN"/>
        </w:rPr>
        <w:t>【】</w:t>
      </w:r>
      <w:r>
        <w:rPr>
          <w:rFonts w:hint="eastAsia" w:ascii="宋体" w:hAnsi="宋体"/>
          <w:color w:val="auto"/>
          <w:szCs w:val="30"/>
          <w:highlight w:val="none"/>
          <w:lang w:val="en-US" w:eastAsia="zh-CN"/>
        </w:rPr>
        <w:t>年【】月【】日</w:t>
      </w:r>
    </w:p>
    <w:p w14:paraId="1E6641F8">
      <w:pPr>
        <w:snapToGrid w:val="0"/>
        <w:outlineLvl w:val="1"/>
        <w:rPr>
          <w:rFonts w:hint="default" w:ascii="宋体" w:hAnsi="宋体" w:eastAsia="宋体" w:cs="宋体"/>
          <w:b/>
          <w:bCs/>
          <w:sz w:val="21"/>
          <w:szCs w:val="21"/>
          <w:highlight w:val="none"/>
          <w:lang w:val="en-US" w:eastAsia="zh-CN"/>
        </w:rPr>
      </w:pPr>
    </w:p>
    <w:sectPr>
      <w:footerReference r:id="rId4" w:type="default"/>
      <w:pgSz w:w="11906" w:h="16838"/>
      <w:pgMar w:top="993" w:right="991" w:bottom="851" w:left="1134" w:header="851" w:footer="48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思源宋体 CN Light">
    <w:altName w:val="宋体"/>
    <w:panose1 w:val="02020300000000000000"/>
    <w:charset w:val="86"/>
    <w:family w:val="roman"/>
    <w:pitch w:val="default"/>
    <w:sig w:usb0="00000000" w:usb1="00000000" w:usb2="00000016" w:usb3="00000000" w:csb0="00060107"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053F1">
    <w:pPr>
      <w:pStyle w:val="12"/>
      <w:ind w:right="360"/>
      <w:jc w:val="right"/>
    </w:pPr>
  </w:p>
  <w:p w14:paraId="6DB3C941">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452502"/>
      <w:docPartObj>
        <w:docPartGallery w:val="autotext"/>
      </w:docPartObj>
    </w:sdtPr>
    <w:sdtContent>
      <w:sdt>
        <w:sdtPr>
          <w:id w:val="-1580201084"/>
          <w:docPartObj>
            <w:docPartGallery w:val="autotext"/>
          </w:docPartObj>
        </w:sdtPr>
        <w:sdtContent>
          <w:p w14:paraId="3EA0BC28">
            <w:pPr>
              <w:pStyle w:val="12"/>
              <w:ind w:right="180"/>
              <w:jc w:val="right"/>
            </w:pPr>
            <w:r>
              <w:rPr>
                <w:rFonts w:hint="eastAsia" w:ascii="幼圆" w:eastAsia="幼圆"/>
                <w:color w:val="808080" w:themeColor="background1" w:themeShade="80"/>
                <w:lang w:val="zh-CN"/>
              </w:rPr>
              <w:t xml:space="preserve"> </w:t>
            </w:r>
            <w:r>
              <w:rPr>
                <w:rFonts w:hint="eastAsia" w:ascii="幼圆" w:eastAsia="幼圆"/>
                <w:color w:val="808080" w:themeColor="background1" w:themeShade="80"/>
                <w:sz w:val="24"/>
                <w:szCs w:val="24"/>
              </w:rPr>
              <w:fldChar w:fldCharType="begin"/>
            </w:r>
            <w:r>
              <w:rPr>
                <w:rFonts w:hint="eastAsia" w:ascii="幼圆" w:eastAsia="幼圆"/>
                <w:color w:val="808080" w:themeColor="background1" w:themeShade="80"/>
              </w:rPr>
              <w:instrText xml:space="preserve">PAGE</w:instrText>
            </w:r>
            <w:r>
              <w:rPr>
                <w:rFonts w:hint="eastAsia" w:ascii="幼圆" w:eastAsia="幼圆"/>
                <w:color w:val="808080" w:themeColor="background1" w:themeShade="80"/>
                <w:sz w:val="24"/>
                <w:szCs w:val="24"/>
              </w:rPr>
              <w:fldChar w:fldCharType="separate"/>
            </w:r>
            <w:r>
              <w:rPr>
                <w:rFonts w:hint="eastAsia" w:ascii="幼圆" w:eastAsia="幼圆"/>
                <w:color w:val="808080" w:themeColor="background1" w:themeShade="80"/>
                <w:lang w:val="zh-CN"/>
              </w:rPr>
              <w:t>2</w:t>
            </w:r>
            <w:r>
              <w:rPr>
                <w:rFonts w:hint="eastAsia" w:ascii="幼圆" w:eastAsia="幼圆"/>
                <w:color w:val="808080" w:themeColor="background1" w:themeShade="80"/>
                <w:sz w:val="24"/>
                <w:szCs w:val="24"/>
              </w:rPr>
              <w:fldChar w:fldCharType="end"/>
            </w:r>
            <w:r>
              <w:rPr>
                <w:rFonts w:hint="eastAsia" w:ascii="幼圆" w:eastAsia="幼圆"/>
                <w:color w:val="808080" w:themeColor="background1" w:themeShade="80"/>
                <w:lang w:val="zh-CN"/>
              </w:rPr>
              <w:t xml:space="preserve"> / </w:t>
            </w:r>
            <w:r>
              <w:rPr>
                <w:rFonts w:hint="eastAsia" w:ascii="幼圆" w:eastAsia="幼圆"/>
                <w:color w:val="808080" w:themeColor="background1" w:themeShade="80"/>
                <w:sz w:val="24"/>
                <w:szCs w:val="24"/>
              </w:rPr>
              <w:fldChar w:fldCharType="begin"/>
            </w:r>
            <w:r>
              <w:rPr>
                <w:rFonts w:hint="eastAsia" w:ascii="幼圆" w:eastAsia="幼圆"/>
                <w:color w:val="808080" w:themeColor="background1" w:themeShade="80"/>
              </w:rPr>
              <w:instrText xml:space="preserve">NUMPAGES</w:instrText>
            </w:r>
            <w:r>
              <w:rPr>
                <w:rFonts w:hint="eastAsia" w:ascii="幼圆" w:eastAsia="幼圆"/>
                <w:color w:val="808080" w:themeColor="background1" w:themeShade="80"/>
                <w:sz w:val="24"/>
                <w:szCs w:val="24"/>
              </w:rPr>
              <w:fldChar w:fldCharType="separate"/>
            </w:r>
            <w:r>
              <w:rPr>
                <w:rFonts w:hint="eastAsia" w:ascii="幼圆" w:eastAsia="幼圆"/>
                <w:color w:val="808080" w:themeColor="background1" w:themeShade="80"/>
                <w:lang w:val="zh-CN"/>
              </w:rPr>
              <w:t>2</w:t>
            </w:r>
            <w:r>
              <w:rPr>
                <w:rFonts w:hint="eastAsia" w:ascii="幼圆" w:eastAsia="幼圆"/>
                <w:color w:val="808080" w:themeColor="background1" w:themeShade="80"/>
                <w:sz w:val="24"/>
                <w:szCs w:val="24"/>
              </w:rPr>
              <w:fldChar w:fldCharType="end"/>
            </w:r>
          </w:p>
        </w:sdtContent>
      </w:sdt>
    </w:sdtContent>
  </w:sdt>
  <w:p w14:paraId="38CD2068">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003C9"/>
    <w:multiLevelType w:val="singleLevel"/>
    <w:tmpl w:val="CC1003C9"/>
    <w:lvl w:ilvl="0" w:tentative="0">
      <w:start w:val="2"/>
      <w:numFmt w:val="decimal"/>
      <w:lvlText w:val="%1."/>
      <w:lvlJc w:val="left"/>
      <w:pPr>
        <w:tabs>
          <w:tab w:val="left" w:pos="312"/>
        </w:tabs>
      </w:pPr>
    </w:lvl>
  </w:abstractNum>
  <w:abstractNum w:abstractNumId="1">
    <w:nsid w:val="D8409E9C"/>
    <w:multiLevelType w:val="singleLevel"/>
    <w:tmpl w:val="D8409E9C"/>
    <w:lvl w:ilvl="0" w:tentative="0">
      <w:start w:val="1"/>
      <w:numFmt w:val="chineseCounting"/>
      <w:suff w:val="space"/>
      <w:lvlText w:val="第%1条"/>
      <w:lvlJc w:val="left"/>
      <w:rPr>
        <w:rFonts w:hint="eastAsia"/>
      </w:rPr>
    </w:lvl>
  </w:abstractNum>
  <w:abstractNum w:abstractNumId="2">
    <w:nsid w:val="0F63CEFE"/>
    <w:multiLevelType w:val="singleLevel"/>
    <w:tmpl w:val="0F63CEFE"/>
    <w:lvl w:ilvl="0" w:tentative="0">
      <w:start w:val="1"/>
      <w:numFmt w:val="decimal"/>
      <w:lvlText w:val="%1."/>
      <w:lvlJc w:val="left"/>
      <w:pPr>
        <w:tabs>
          <w:tab w:val="left" w:pos="312"/>
        </w:tabs>
      </w:pPr>
    </w:lvl>
  </w:abstractNum>
  <w:abstractNum w:abstractNumId="3">
    <w:nsid w:val="10F9101C"/>
    <w:multiLevelType w:val="singleLevel"/>
    <w:tmpl w:val="10F9101C"/>
    <w:lvl w:ilvl="0" w:tentative="0">
      <w:start w:val="4"/>
      <w:numFmt w:val="chineseCounting"/>
      <w:suff w:val="nothing"/>
      <w:lvlText w:val="%1、"/>
      <w:lvlJc w:val="left"/>
      <w:rPr>
        <w:rFonts w:hint="eastAsia"/>
      </w:rPr>
    </w:lvl>
  </w:abstractNum>
  <w:abstractNum w:abstractNumId="4">
    <w:nsid w:val="15E6C2A0"/>
    <w:multiLevelType w:val="singleLevel"/>
    <w:tmpl w:val="15E6C2A0"/>
    <w:lvl w:ilvl="0" w:tentative="0">
      <w:start w:val="1"/>
      <w:numFmt w:val="chineseCounting"/>
      <w:suff w:val="nothing"/>
      <w:lvlText w:val="%1、"/>
      <w:lvlJc w:val="left"/>
      <w:rPr>
        <w:rFonts w:hint="eastAsia"/>
      </w:rPr>
    </w:lvl>
  </w:abstractNum>
  <w:abstractNum w:abstractNumId="5">
    <w:nsid w:val="1C360CD4"/>
    <w:multiLevelType w:val="multilevel"/>
    <w:tmpl w:val="1C360C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2250E99"/>
    <w:multiLevelType w:val="multilevel"/>
    <w:tmpl w:val="22250E9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4581484"/>
    <w:multiLevelType w:val="singleLevel"/>
    <w:tmpl w:val="44581484"/>
    <w:lvl w:ilvl="0" w:tentative="0">
      <w:start w:val="3"/>
      <w:numFmt w:val="chineseCounting"/>
      <w:suff w:val="space"/>
      <w:lvlText w:val="第%1条"/>
      <w:lvlJc w:val="left"/>
      <w:rPr>
        <w:rFonts w:hint="eastAsia"/>
      </w:rPr>
    </w:lvl>
  </w:abstractNum>
  <w:abstractNum w:abstractNumId="8">
    <w:nsid w:val="44FD4ED4"/>
    <w:multiLevelType w:val="multilevel"/>
    <w:tmpl w:val="44FD4E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88D19EE"/>
    <w:multiLevelType w:val="multilevel"/>
    <w:tmpl w:val="488D19EE"/>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C8C3B7E"/>
    <w:multiLevelType w:val="multilevel"/>
    <w:tmpl w:val="5C8C3B7E"/>
    <w:lvl w:ilvl="0" w:tentative="0">
      <w:start w:val="1"/>
      <w:numFmt w:val="decimal"/>
      <w:lvlText w:val="%1）"/>
      <w:lvlJc w:val="left"/>
      <w:pPr>
        <w:ind w:left="560" w:hanging="360"/>
      </w:pPr>
      <w:rPr>
        <w:rFonts w:ascii="幼圆" w:eastAsia="幼圆" w:hAnsiTheme="minorHAnsi" w:cstheme="minorBidi"/>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1">
    <w:nsid w:val="5FC14039"/>
    <w:multiLevelType w:val="multilevel"/>
    <w:tmpl w:val="5FC14039"/>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6ACC59D3"/>
    <w:multiLevelType w:val="multilevel"/>
    <w:tmpl w:val="6ACC59D3"/>
    <w:lvl w:ilvl="0" w:tentative="0">
      <w:start w:val="1"/>
      <w:numFmt w:val="japaneseCounting"/>
      <w:lvlText w:val="第%1章"/>
      <w:lvlJc w:val="left"/>
      <w:pPr>
        <w:ind w:left="960" w:hanging="9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6"/>
  </w:num>
  <w:num w:numId="3">
    <w:abstractNumId w:val="5"/>
  </w:num>
  <w:num w:numId="4">
    <w:abstractNumId w:val="9"/>
  </w:num>
  <w:num w:numId="5">
    <w:abstractNumId w:val="11"/>
  </w:num>
  <w:num w:numId="6">
    <w:abstractNumId w:val="8"/>
  </w:num>
  <w:num w:numId="7">
    <w:abstractNumId w:val="10"/>
  </w:num>
  <w:num w:numId="8">
    <w:abstractNumId w:val="1"/>
  </w:num>
  <w:num w:numId="9">
    <w:abstractNumId w:val="4"/>
  </w:num>
  <w:num w:numId="10">
    <w:abstractNumId w:val="2"/>
  </w:num>
  <w:num w:numId="11">
    <w:abstractNumId w:val="0"/>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lZTQ2NjIxNzRlMjQ1ODIzODFlZTQ4Y2I0MzVjYmMifQ=="/>
  </w:docVars>
  <w:rsids>
    <w:rsidRoot w:val="00B26442"/>
    <w:rsid w:val="00144692"/>
    <w:rsid w:val="002C668E"/>
    <w:rsid w:val="003220D1"/>
    <w:rsid w:val="00702FBE"/>
    <w:rsid w:val="007E39DA"/>
    <w:rsid w:val="00A73207"/>
    <w:rsid w:val="00B26442"/>
    <w:rsid w:val="064310E3"/>
    <w:rsid w:val="078A7013"/>
    <w:rsid w:val="0A446E0B"/>
    <w:rsid w:val="0D6B050B"/>
    <w:rsid w:val="0E726354"/>
    <w:rsid w:val="11A620B8"/>
    <w:rsid w:val="12571246"/>
    <w:rsid w:val="12A04CA7"/>
    <w:rsid w:val="1A2F5DB0"/>
    <w:rsid w:val="1C4159FA"/>
    <w:rsid w:val="1CEF49DE"/>
    <w:rsid w:val="1FD74E07"/>
    <w:rsid w:val="2096129C"/>
    <w:rsid w:val="218D6417"/>
    <w:rsid w:val="246E2674"/>
    <w:rsid w:val="26381486"/>
    <w:rsid w:val="2A565257"/>
    <w:rsid w:val="2B6B6158"/>
    <w:rsid w:val="2BC63589"/>
    <w:rsid w:val="2EF2422B"/>
    <w:rsid w:val="308907DB"/>
    <w:rsid w:val="30AB29B7"/>
    <w:rsid w:val="33246CBD"/>
    <w:rsid w:val="35FE3443"/>
    <w:rsid w:val="3998453A"/>
    <w:rsid w:val="3EBD02FB"/>
    <w:rsid w:val="45D0295B"/>
    <w:rsid w:val="4AA61991"/>
    <w:rsid w:val="4F0D3BD4"/>
    <w:rsid w:val="516C5036"/>
    <w:rsid w:val="54DA5E97"/>
    <w:rsid w:val="55CA1171"/>
    <w:rsid w:val="5B4F7359"/>
    <w:rsid w:val="614A28CC"/>
    <w:rsid w:val="62C87C26"/>
    <w:rsid w:val="63785814"/>
    <w:rsid w:val="66E72E33"/>
    <w:rsid w:val="6D925338"/>
    <w:rsid w:val="6E3377E6"/>
    <w:rsid w:val="736E6F7E"/>
    <w:rsid w:val="73C643DF"/>
    <w:rsid w:val="77B23317"/>
    <w:rsid w:val="7A041F31"/>
    <w:rsid w:val="7A5B6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eastAsiaTheme="minorHAnsi"/>
      <w:sz w:val="18"/>
      <w:szCs w:val="18"/>
    </w:rPr>
  </w:style>
  <w:style w:type="paragraph" w:styleId="6">
    <w:name w:val="annotation text"/>
    <w:basedOn w:val="1"/>
    <w:semiHidden/>
    <w:unhideWhenUsed/>
    <w:qFormat/>
    <w:uiPriority w:val="99"/>
    <w:pPr>
      <w:jc w:val="left"/>
    </w:pPr>
  </w:style>
  <w:style w:type="paragraph" w:styleId="7">
    <w:name w:val="Body Text"/>
    <w:basedOn w:val="1"/>
    <w:link w:val="33"/>
    <w:qFormat/>
    <w:uiPriority w:val="0"/>
    <w:rPr>
      <w:rFonts w:eastAsia="楷体_GB2312"/>
      <w:sz w:val="28"/>
      <w:szCs w:val="24"/>
    </w:rPr>
  </w:style>
  <w:style w:type="paragraph" w:styleId="8">
    <w:name w:val="toc 5"/>
    <w:basedOn w:val="1"/>
    <w:next w:val="1"/>
    <w:unhideWhenUsed/>
    <w:qFormat/>
    <w:uiPriority w:val="39"/>
    <w:pPr>
      <w:ind w:left="840"/>
      <w:jc w:val="left"/>
    </w:pPr>
    <w:rPr>
      <w:rFonts w:eastAsiaTheme="minorHAnsi"/>
      <w:sz w:val="18"/>
      <w:szCs w:val="18"/>
    </w:rPr>
  </w:style>
  <w:style w:type="paragraph" w:styleId="9">
    <w:name w:val="toc 3"/>
    <w:basedOn w:val="1"/>
    <w:next w:val="1"/>
    <w:unhideWhenUsed/>
    <w:qFormat/>
    <w:uiPriority w:val="39"/>
    <w:pPr>
      <w:ind w:left="420"/>
      <w:jc w:val="left"/>
    </w:pPr>
    <w:rPr>
      <w:rFonts w:eastAsiaTheme="minorHAnsi"/>
      <w:i/>
      <w:iCs/>
      <w:sz w:val="20"/>
      <w:szCs w:val="20"/>
    </w:rPr>
  </w:style>
  <w:style w:type="paragraph" w:styleId="10">
    <w:name w:val="toc 8"/>
    <w:basedOn w:val="1"/>
    <w:next w:val="1"/>
    <w:unhideWhenUsed/>
    <w:qFormat/>
    <w:uiPriority w:val="39"/>
    <w:pPr>
      <w:ind w:left="1470"/>
      <w:jc w:val="left"/>
    </w:pPr>
    <w:rPr>
      <w:rFonts w:eastAsiaTheme="minorHAnsi"/>
      <w:sz w:val="18"/>
      <w:szCs w:val="18"/>
    </w:rPr>
  </w:style>
  <w:style w:type="paragraph" w:styleId="11">
    <w:name w:val="Date"/>
    <w:basedOn w:val="1"/>
    <w:next w:val="1"/>
    <w:link w:val="27"/>
    <w:semiHidden/>
    <w:unhideWhenUsed/>
    <w:qFormat/>
    <w:uiPriority w:val="99"/>
    <w:pPr>
      <w:ind w:left="100" w:leftChars="2500"/>
    </w:p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spacing w:before="120" w:after="120"/>
      <w:jc w:val="left"/>
    </w:pPr>
    <w:rPr>
      <w:rFonts w:eastAsiaTheme="minorHAnsi"/>
      <w:b/>
      <w:bCs/>
      <w:caps/>
      <w:sz w:val="20"/>
      <w:szCs w:val="20"/>
    </w:rPr>
  </w:style>
  <w:style w:type="paragraph" w:styleId="15">
    <w:name w:val="toc 4"/>
    <w:basedOn w:val="1"/>
    <w:next w:val="1"/>
    <w:unhideWhenUsed/>
    <w:qFormat/>
    <w:uiPriority w:val="39"/>
    <w:pPr>
      <w:ind w:left="630"/>
      <w:jc w:val="left"/>
    </w:pPr>
    <w:rPr>
      <w:rFonts w:eastAsiaTheme="minorHAnsi"/>
      <w:sz w:val="18"/>
      <w:szCs w:val="18"/>
    </w:rPr>
  </w:style>
  <w:style w:type="paragraph" w:styleId="16">
    <w:name w:val="toc 6"/>
    <w:basedOn w:val="1"/>
    <w:next w:val="1"/>
    <w:unhideWhenUsed/>
    <w:qFormat/>
    <w:uiPriority w:val="39"/>
    <w:pPr>
      <w:ind w:left="1050"/>
      <w:jc w:val="left"/>
    </w:pPr>
    <w:rPr>
      <w:rFonts w:eastAsiaTheme="minorHAnsi"/>
      <w:sz w:val="18"/>
      <w:szCs w:val="18"/>
    </w:rPr>
  </w:style>
  <w:style w:type="paragraph" w:styleId="17">
    <w:name w:val="toc 2"/>
    <w:basedOn w:val="1"/>
    <w:next w:val="1"/>
    <w:unhideWhenUsed/>
    <w:qFormat/>
    <w:uiPriority w:val="39"/>
    <w:pPr>
      <w:tabs>
        <w:tab w:val="right" w:leader="dot" w:pos="9771"/>
      </w:tabs>
      <w:snapToGrid w:val="0"/>
      <w:spacing w:line="360" w:lineRule="auto"/>
      <w:ind w:left="210"/>
      <w:jc w:val="left"/>
    </w:pPr>
    <w:rPr>
      <w:rFonts w:ascii="幼圆" w:hAnsi="思源宋体 CN Light" w:eastAsia="幼圆"/>
      <w:b/>
      <w:bCs/>
      <w:smallCaps/>
      <w:color w:val="000000" w:themeColor="text1"/>
      <w:sz w:val="20"/>
      <w:szCs w:val="20"/>
      <w14:textFill>
        <w14:solidFill>
          <w14:schemeClr w14:val="tx1"/>
        </w14:solidFill>
      </w14:textFill>
    </w:rPr>
  </w:style>
  <w:style w:type="paragraph" w:styleId="18">
    <w:name w:val="toc 9"/>
    <w:basedOn w:val="1"/>
    <w:next w:val="1"/>
    <w:unhideWhenUsed/>
    <w:qFormat/>
    <w:uiPriority w:val="39"/>
    <w:pPr>
      <w:ind w:left="1680"/>
      <w:jc w:val="left"/>
    </w:pPr>
    <w:rPr>
      <w:rFonts w:eastAsiaTheme="minorHAnsi"/>
      <w:sz w:val="18"/>
      <w:szCs w:val="18"/>
    </w:rPr>
  </w:style>
  <w:style w:type="paragraph" w:styleId="19">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character" w:customStyle="1" w:styleId="24">
    <w:name w:val="页眉 字符"/>
    <w:basedOn w:val="22"/>
    <w:link w:val="13"/>
    <w:qFormat/>
    <w:uiPriority w:val="99"/>
    <w:rPr>
      <w:sz w:val="18"/>
      <w:szCs w:val="18"/>
    </w:rPr>
  </w:style>
  <w:style w:type="character" w:customStyle="1" w:styleId="25">
    <w:name w:val="页脚 字符"/>
    <w:basedOn w:val="22"/>
    <w:link w:val="12"/>
    <w:qFormat/>
    <w:uiPriority w:val="99"/>
    <w:rPr>
      <w:sz w:val="18"/>
      <w:szCs w:val="18"/>
    </w:rPr>
  </w:style>
  <w:style w:type="character" w:customStyle="1" w:styleId="26">
    <w:name w:val="标题 1 字符"/>
    <w:basedOn w:val="22"/>
    <w:link w:val="2"/>
    <w:qFormat/>
    <w:uiPriority w:val="9"/>
    <w:rPr>
      <w:b/>
      <w:bCs/>
      <w:kern w:val="44"/>
      <w:sz w:val="44"/>
      <w:szCs w:val="44"/>
    </w:rPr>
  </w:style>
  <w:style w:type="character" w:customStyle="1" w:styleId="27">
    <w:name w:val="日期 字符"/>
    <w:basedOn w:val="22"/>
    <w:link w:val="11"/>
    <w:semiHidden/>
    <w:qFormat/>
    <w:uiPriority w:val="99"/>
  </w:style>
  <w:style w:type="paragraph" w:styleId="28">
    <w:name w:val="List Paragraph"/>
    <w:basedOn w:val="1"/>
    <w:qFormat/>
    <w:uiPriority w:val="34"/>
    <w:pPr>
      <w:ind w:firstLine="420" w:firstLineChars="200"/>
    </w:pPr>
  </w:style>
  <w:style w:type="paragraph" w:customStyle="1" w:styleId="29">
    <w:name w:val="4正文"/>
    <w:link w:val="31"/>
    <w:qFormat/>
    <w:uiPriority w:val="0"/>
    <w:pPr>
      <w:spacing w:line="360" w:lineRule="auto"/>
      <w:ind w:firstLine="200" w:firstLineChars="200"/>
    </w:pPr>
    <w:rPr>
      <w:rFonts w:eastAsia="宋体" w:asciiTheme="minorHAnsi" w:hAnsiTheme="minorHAnsi" w:cstheme="minorBidi"/>
      <w:kern w:val="2"/>
      <w:sz w:val="21"/>
      <w:szCs w:val="22"/>
      <w:lang w:val="en-US" w:eastAsia="zh-CN" w:bidi="ar-SA"/>
    </w:rPr>
  </w:style>
  <w:style w:type="paragraph" w:customStyle="1" w:styleId="30">
    <w:name w:val="5小标题"/>
    <w:link w:val="32"/>
    <w:qFormat/>
    <w:uiPriority w:val="0"/>
    <w:pPr>
      <w:spacing w:line="360" w:lineRule="auto"/>
      <w:ind w:firstLine="200" w:firstLineChars="200"/>
    </w:pPr>
    <w:rPr>
      <w:rFonts w:eastAsia="宋体" w:asciiTheme="minorHAnsi" w:hAnsiTheme="minorHAnsi" w:cstheme="minorBidi"/>
      <w:b/>
      <w:kern w:val="2"/>
      <w:sz w:val="21"/>
      <w:szCs w:val="22"/>
      <w:lang w:val="en-US" w:eastAsia="zh-CN" w:bidi="ar-SA"/>
    </w:rPr>
  </w:style>
  <w:style w:type="character" w:customStyle="1" w:styleId="31">
    <w:name w:val="4正文 Char"/>
    <w:basedOn w:val="22"/>
    <w:link w:val="29"/>
    <w:qFormat/>
    <w:uiPriority w:val="0"/>
    <w:rPr>
      <w:rFonts w:eastAsia="宋体"/>
    </w:rPr>
  </w:style>
  <w:style w:type="character" w:customStyle="1" w:styleId="32">
    <w:name w:val="5小标题 Char"/>
    <w:basedOn w:val="22"/>
    <w:link w:val="30"/>
    <w:qFormat/>
    <w:uiPriority w:val="0"/>
    <w:rPr>
      <w:rFonts w:eastAsia="宋体"/>
      <w:b/>
    </w:rPr>
  </w:style>
  <w:style w:type="character" w:customStyle="1" w:styleId="33">
    <w:name w:val="正文文本 字符"/>
    <w:link w:val="7"/>
    <w:qFormat/>
    <w:uiPriority w:val="0"/>
    <w:rPr>
      <w:rFonts w:eastAsia="楷体_GB2312"/>
      <w:sz w:val="28"/>
      <w:szCs w:val="24"/>
    </w:rPr>
  </w:style>
  <w:style w:type="character" w:customStyle="1" w:styleId="34">
    <w:name w:val="正文文本 字符1"/>
    <w:basedOn w:val="22"/>
    <w:semiHidden/>
    <w:qFormat/>
    <w:uiPriority w:val="99"/>
  </w:style>
  <w:style w:type="paragraph" w:customStyle="1" w:styleId="3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6">
    <w:name w:val="Unresolved Mention"/>
    <w:basedOn w:val="2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7407</Words>
  <Characters>7856</Characters>
  <Lines>191</Lines>
  <Paragraphs>53</Paragraphs>
  <TotalTime>2</TotalTime>
  <ScaleCrop>false</ScaleCrop>
  <LinksUpToDate>false</LinksUpToDate>
  <CharactersWithSpaces>8064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2022-10-26T04:58:00Z</dcterms:created>
  <dc:creator>TW</dc:creator>
  <cp:lastModifiedBy>杨超</cp:lastModifiedBy>
  <dcterms:modified xsi:type="dcterms:W3CDTF">2025-10-28T05:46:18Z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904BA441FBE74B819751E42E8E260546_13</vt:lpwstr>
  </property>
  <property fmtid="{D5CDD505-2E9C-101B-9397-08002B2CF9AE}" pid="4" name="KSOTemplateDocerSaveRecord">
    <vt:lpwstr>eyJoZGlkIjoiNWI3Y2M4MmQ0YmRkMTBlYTA2ODRlOTY5Mzc5MzE0MWEiLCJ1c2VySWQiOiI0MDIyNDQ3MzAifQ==</vt:lpwstr>
  </property>
</Properties>
</file>