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宋体" w:hAnsi="宋体" w:eastAsia="宋体" w:cs="宋体"/>
          <w:b/>
          <w:bCs/>
          <w:color w:val="auto"/>
          <w:sz w:val="24"/>
          <w:szCs w:val="28"/>
          <w:highlight w:val="none"/>
        </w:rPr>
      </w:pPr>
    </w:p>
    <w:p>
      <w:pPr>
        <w:snapToGrid w:val="0"/>
        <w:rPr>
          <w:rFonts w:ascii="宋体" w:hAnsi="宋体" w:eastAsia="宋体" w:cs="宋体"/>
          <w:b/>
          <w:bCs/>
          <w:color w:val="auto"/>
          <w:sz w:val="24"/>
          <w:szCs w:val="28"/>
          <w:highlight w:val="none"/>
        </w:rPr>
      </w:pPr>
    </w:p>
    <w:p>
      <w:pPr>
        <w:snapToGrid w:val="0"/>
        <w:rPr>
          <w:rFonts w:ascii="宋体" w:hAnsi="宋体" w:eastAsia="宋体" w:cs="宋体"/>
          <w:b/>
          <w:bCs/>
          <w:color w:val="auto"/>
          <w:sz w:val="24"/>
          <w:szCs w:val="28"/>
          <w:highlight w:val="none"/>
        </w:rPr>
      </w:pPr>
    </w:p>
    <w:p>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眉山琏升光伏科技有限公司</w:t>
      </w:r>
    </w:p>
    <w:p>
      <w:pPr>
        <w:snapToGrid w:val="0"/>
        <w:jc w:val="center"/>
        <w:outlineLvl w:val="0"/>
        <w:rPr>
          <w:rFonts w:ascii="宋体" w:hAnsi="宋体" w:eastAsia="宋体" w:cs="宋体"/>
          <w:b/>
          <w:bCs/>
          <w:color w:val="auto"/>
          <w:sz w:val="48"/>
          <w:szCs w:val="52"/>
          <w:highlight w:val="none"/>
        </w:rPr>
      </w:pPr>
      <w:r>
        <w:rPr>
          <w:rFonts w:hint="eastAsia" w:ascii="宋体" w:hAnsi="宋体" w:eastAsia="宋体" w:cs="宋体"/>
          <w:b/>
          <w:bCs/>
          <w:color w:val="auto"/>
          <w:sz w:val="48"/>
          <w:szCs w:val="52"/>
          <w:highlight w:val="none"/>
        </w:rPr>
        <w:t>新能源 8GW 高效异质结电池片项目</w:t>
      </w:r>
    </w:p>
    <w:p>
      <w:pPr>
        <w:snapToGrid w:val="0"/>
        <w:jc w:val="center"/>
        <w:rPr>
          <w:rFonts w:ascii="宋体" w:hAnsi="宋体" w:eastAsia="宋体" w:cs="宋体"/>
          <w:color w:val="auto"/>
          <w:highlight w:val="none"/>
        </w:rPr>
      </w:pPr>
    </w:p>
    <w:p>
      <w:pPr>
        <w:snapToGrid w:val="0"/>
        <w:jc w:val="center"/>
        <w:outlineLvl w:val="0"/>
        <w:rPr>
          <w:rFonts w:hint="default" w:ascii="宋体" w:hAnsi="宋体" w:eastAsia="宋体" w:cs="宋体"/>
          <w:b/>
          <w:bCs/>
          <w:color w:val="auto"/>
          <w:sz w:val="48"/>
          <w:szCs w:val="52"/>
          <w:highlight w:val="none"/>
          <w:lang w:val="en-US"/>
        </w:rPr>
      </w:pPr>
      <w:r>
        <w:rPr>
          <w:rFonts w:hint="eastAsia" w:ascii="宋体" w:hAnsi="宋体" w:eastAsia="宋体" w:cs="宋体"/>
          <w:b/>
          <w:bCs/>
          <w:color w:val="auto"/>
          <w:sz w:val="48"/>
          <w:szCs w:val="52"/>
          <w:highlight w:val="none"/>
          <w:lang w:eastAsia="zh-CN"/>
        </w:rPr>
        <w:t>水处理药剂</w:t>
      </w:r>
      <w:r>
        <w:rPr>
          <w:rFonts w:hint="eastAsia" w:ascii="宋体" w:hAnsi="宋体" w:eastAsia="宋体" w:cs="宋体"/>
          <w:b/>
          <w:bCs/>
          <w:color w:val="auto"/>
          <w:sz w:val="48"/>
          <w:szCs w:val="52"/>
          <w:highlight w:val="none"/>
          <w:lang w:val="en-US" w:eastAsia="zh-CN"/>
        </w:rPr>
        <w:t>项目</w:t>
      </w: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jc w:val="center"/>
        <w:rPr>
          <w:rFonts w:ascii="宋体" w:hAnsi="宋体" w:eastAsia="宋体" w:cs="宋体"/>
          <w:color w:val="auto"/>
          <w:highlight w:val="none"/>
        </w:rPr>
      </w:pPr>
    </w:p>
    <w:p>
      <w:pPr>
        <w:snapToGrid w:val="0"/>
        <w:rPr>
          <w:rFonts w:ascii="宋体" w:hAnsi="宋体" w:eastAsia="宋体" w:cs="宋体"/>
          <w:color w:val="auto"/>
          <w:highlight w:val="none"/>
        </w:rPr>
      </w:pPr>
    </w:p>
    <w:p>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竞争性谈判文件</w:t>
      </w:r>
    </w:p>
    <w:p>
      <w:pPr>
        <w:spacing w:line="360" w:lineRule="auto"/>
        <w:jc w:val="center"/>
        <w:outlineLvl w:val="0"/>
        <w:rPr>
          <w:rFonts w:hint="default" w:ascii="宋体" w:hAnsi="宋体" w:eastAsia="宋体" w:cs="宋体"/>
          <w:b/>
          <w:color w:val="auto"/>
          <w:sz w:val="52"/>
          <w:szCs w:val="52"/>
          <w:highlight w:val="none"/>
          <w:lang w:val="en-US" w:eastAsia="zh-CN"/>
        </w:rPr>
      </w:pPr>
      <w:r>
        <w:rPr>
          <w:rFonts w:hint="eastAsia" w:ascii="宋体" w:hAnsi="宋体" w:eastAsia="宋体" w:cs="宋体"/>
          <w:b/>
          <w:color w:val="auto"/>
          <w:sz w:val="52"/>
          <w:szCs w:val="52"/>
          <w:highlight w:val="none"/>
        </w:rPr>
        <w:t>文件编号：LSZBCW-20240008</w:t>
      </w:r>
    </w:p>
    <w:p>
      <w:pPr>
        <w:spacing w:line="360" w:lineRule="auto"/>
        <w:jc w:val="center"/>
        <w:rPr>
          <w:rFonts w:ascii="宋体" w:hAnsi="宋体" w:eastAsia="宋体" w:cs="宋体"/>
          <w:b/>
          <w:color w:val="auto"/>
          <w:sz w:val="52"/>
          <w:szCs w:val="52"/>
          <w:highlight w:val="none"/>
        </w:rPr>
      </w:pPr>
    </w:p>
    <w:p>
      <w:pPr>
        <w:spacing w:line="360" w:lineRule="auto"/>
        <w:jc w:val="center"/>
        <w:rPr>
          <w:rFonts w:ascii="宋体" w:hAnsi="宋体" w:eastAsia="宋体" w:cs="宋体"/>
          <w:b/>
          <w:color w:val="auto"/>
          <w:sz w:val="52"/>
          <w:szCs w:val="52"/>
          <w:highlight w:val="none"/>
        </w:rPr>
      </w:pPr>
    </w:p>
    <w:p>
      <w:pPr>
        <w:spacing w:line="360" w:lineRule="auto"/>
        <w:jc w:val="center"/>
        <w:rPr>
          <w:rFonts w:ascii="宋体" w:hAnsi="宋体" w:eastAsia="宋体" w:cs="宋体"/>
          <w:b/>
          <w:color w:val="auto"/>
          <w:sz w:val="52"/>
          <w:szCs w:val="52"/>
          <w:highlight w:val="none"/>
        </w:rPr>
      </w:pPr>
    </w:p>
    <w:p>
      <w:pPr>
        <w:spacing w:line="360" w:lineRule="auto"/>
        <w:jc w:val="center"/>
        <w:rPr>
          <w:rFonts w:ascii="宋体" w:hAnsi="宋体" w:eastAsia="宋体" w:cs="宋体"/>
          <w:b/>
          <w:color w:val="auto"/>
          <w:sz w:val="52"/>
          <w:szCs w:val="52"/>
          <w:highlight w:val="none"/>
        </w:rPr>
      </w:pPr>
    </w:p>
    <w:p>
      <w:pPr>
        <w:spacing w:line="360" w:lineRule="auto"/>
        <w:jc w:val="center"/>
        <w:rPr>
          <w:rFonts w:ascii="宋体" w:hAnsi="宋体" w:eastAsia="宋体" w:cs="宋体"/>
          <w:b/>
          <w:color w:val="auto"/>
          <w:sz w:val="52"/>
          <w:szCs w:val="52"/>
          <w:highlight w:val="none"/>
        </w:rPr>
      </w:pPr>
    </w:p>
    <w:p>
      <w:pPr>
        <w:spacing w:line="360" w:lineRule="auto"/>
        <w:rPr>
          <w:rFonts w:ascii="宋体" w:hAnsi="宋体" w:eastAsia="宋体" w:cs="宋体"/>
          <w:b/>
          <w:color w:val="auto"/>
          <w:sz w:val="52"/>
          <w:szCs w:val="52"/>
          <w:highlight w:val="none"/>
        </w:rPr>
      </w:pPr>
    </w:p>
    <w:p>
      <w:pPr>
        <w:spacing w:line="360" w:lineRule="auto"/>
        <w:jc w:val="center"/>
        <w:outlineLvl w:val="0"/>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眉山琏升光伏科技有限公司</w:t>
      </w:r>
    </w:p>
    <w:p>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t>202</w:t>
      </w:r>
      <w:r>
        <w:rPr>
          <w:rFonts w:hint="eastAsia" w:ascii="宋体" w:hAnsi="宋体" w:eastAsia="宋体" w:cs="宋体"/>
          <w:b/>
          <w:color w:val="auto"/>
          <w:sz w:val="52"/>
          <w:szCs w:val="52"/>
          <w:highlight w:val="none"/>
          <w:lang w:val="en-US" w:eastAsia="zh-CN"/>
        </w:rPr>
        <w:t>4</w:t>
      </w:r>
      <w:r>
        <w:rPr>
          <w:rFonts w:hint="eastAsia" w:ascii="宋体" w:hAnsi="宋体" w:eastAsia="宋体" w:cs="宋体"/>
          <w:b/>
          <w:color w:val="auto"/>
          <w:sz w:val="52"/>
          <w:szCs w:val="52"/>
          <w:highlight w:val="none"/>
        </w:rPr>
        <w:t>年0</w:t>
      </w:r>
      <w:r>
        <w:rPr>
          <w:rFonts w:hint="eastAsia" w:ascii="宋体" w:hAnsi="宋体" w:eastAsia="宋体" w:cs="宋体"/>
          <w:b/>
          <w:color w:val="auto"/>
          <w:sz w:val="52"/>
          <w:szCs w:val="52"/>
          <w:highlight w:val="none"/>
          <w:lang w:val="en-US" w:eastAsia="zh-CN"/>
        </w:rPr>
        <w:t>8</w:t>
      </w:r>
      <w:r>
        <w:rPr>
          <w:rFonts w:hint="eastAsia" w:ascii="宋体" w:hAnsi="宋体" w:eastAsia="宋体" w:cs="宋体"/>
          <w:b/>
          <w:color w:val="auto"/>
          <w:sz w:val="52"/>
          <w:szCs w:val="52"/>
          <w:highlight w:val="none"/>
        </w:rPr>
        <w:t>月</w:t>
      </w:r>
    </w:p>
    <w:p>
      <w:pPr>
        <w:spacing w:line="360" w:lineRule="auto"/>
        <w:jc w:val="center"/>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rPr>
        <w:br w:type="page"/>
      </w:r>
    </w:p>
    <w:p>
      <w:pPr>
        <w:pStyle w:val="14"/>
        <w:rPr>
          <w:rFonts w:ascii="宋体" w:hAnsi="宋体" w:eastAsia="宋体" w:cs="宋体"/>
          <w:color w:val="auto"/>
          <w:highlight w:val="none"/>
        </w:rPr>
      </w:pPr>
    </w:p>
    <w:sdt>
      <w:sdtPr>
        <w:rPr>
          <w:rFonts w:hint="eastAsia" w:ascii="宋体" w:hAnsi="宋体" w:eastAsia="宋体" w:cs="宋体"/>
          <w:color w:val="auto"/>
          <w:kern w:val="2"/>
          <w:sz w:val="21"/>
          <w:szCs w:val="22"/>
          <w:highlight w:val="none"/>
          <w:lang w:val="zh-CN"/>
        </w:rPr>
        <w:id w:val="582797841"/>
        <w:docPartObj>
          <w:docPartGallery w:val="Table of Contents"/>
          <w:docPartUnique/>
        </w:docPartObj>
      </w:sdtPr>
      <w:sdtEndPr>
        <w:rPr>
          <w:rFonts w:hint="eastAsia" w:ascii="宋体" w:hAnsi="宋体" w:eastAsia="宋体" w:cs="宋体"/>
          <w:b/>
          <w:bCs/>
          <w:color w:val="auto"/>
          <w:kern w:val="2"/>
          <w:sz w:val="21"/>
          <w:szCs w:val="22"/>
          <w:highlight w:val="none"/>
          <w:lang w:val="zh-CN"/>
        </w:rPr>
      </w:sdtEndPr>
      <w:sdtContent>
        <w:p>
          <w:pPr>
            <w:pStyle w:val="35"/>
            <w:jc w:val="center"/>
            <w:rPr>
              <w:rFonts w:ascii="宋体" w:hAnsi="宋体" w:eastAsia="宋体" w:cs="宋体"/>
              <w:color w:val="auto"/>
              <w:sz w:val="52"/>
              <w:szCs w:val="52"/>
              <w:highlight w:val="none"/>
              <w:lang w:val="zh-CN"/>
            </w:rPr>
          </w:pPr>
          <w:r>
            <w:rPr>
              <w:rFonts w:hint="eastAsia" w:ascii="宋体" w:hAnsi="宋体" w:eastAsia="宋体" w:cs="宋体"/>
              <w:color w:val="auto"/>
              <w:sz w:val="52"/>
              <w:szCs w:val="52"/>
              <w:highlight w:val="none"/>
              <w:lang w:val="zh-CN"/>
            </w:rPr>
            <w:t>目录</w:t>
          </w:r>
        </w:p>
        <w:p>
          <w:pPr>
            <w:rPr>
              <w:rFonts w:ascii="宋体" w:hAnsi="宋体" w:eastAsia="宋体" w:cs="宋体"/>
              <w:color w:val="auto"/>
              <w:highlight w:val="none"/>
              <w:lang w:val="zh-CN"/>
            </w:rPr>
          </w:pPr>
        </w:p>
        <w:p>
          <w:pPr>
            <w:pStyle w:val="14"/>
            <w:tabs>
              <w:tab w:val="left" w:pos="840"/>
              <w:tab w:val="right" w:leader="dot" w:pos="9771"/>
            </w:tabs>
            <w:rPr>
              <w:rFonts w:ascii="宋体" w:hAnsi="宋体" w:eastAsia="宋体" w:cs="宋体"/>
              <w:b w:val="0"/>
              <w:bCs w:val="0"/>
              <w:cap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"_Toc115424825" </w:instrText>
          </w:r>
          <w:r>
            <w:rPr>
              <w:color w:val="auto"/>
              <w:highlight w:val="none"/>
            </w:rPr>
            <w:fldChar w:fldCharType="separate"/>
          </w:r>
          <w:r>
            <w:rPr>
              <w:rStyle w:val="23"/>
              <w:rFonts w:hint="eastAsia" w:ascii="宋体" w:hAnsi="宋体" w:eastAsia="宋体" w:cs="宋体"/>
              <w:color w:val="auto"/>
              <w:sz w:val="28"/>
              <w:szCs w:val="28"/>
              <w:highlight w:val="none"/>
            </w:rPr>
            <w:t xml:space="preserve">第一章 </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竞标邀请书</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"_Toc115424826" </w:instrText>
          </w:r>
          <w:r>
            <w:rPr>
              <w:color w:val="auto"/>
              <w:highlight w:val="none"/>
            </w:rPr>
            <w:fldChar w:fldCharType="separate"/>
          </w:r>
          <w:r>
            <w:rPr>
              <w:rStyle w:val="23"/>
              <w:rFonts w:hint="eastAsia" w:ascii="宋体" w:hAnsi="宋体" w:eastAsia="宋体" w:cs="宋体"/>
              <w:color w:val="auto"/>
              <w:sz w:val="28"/>
              <w:szCs w:val="28"/>
              <w:highlight w:val="none"/>
            </w:rPr>
            <w:t>第二章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竞标前须知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"_Toc115424827" </w:instrText>
          </w:r>
          <w:r>
            <w:rPr>
              <w:color w:val="auto"/>
              <w:highlight w:val="none"/>
            </w:rPr>
            <w:fldChar w:fldCharType="separate"/>
          </w:r>
          <w:r>
            <w:rPr>
              <w:rStyle w:val="23"/>
              <w:rFonts w:hint="eastAsia" w:ascii="宋体" w:hAnsi="宋体" w:eastAsia="宋体" w:cs="宋体"/>
              <w:color w:val="auto"/>
              <w:sz w:val="28"/>
              <w:szCs w:val="28"/>
              <w:highlight w:val="none"/>
            </w:rPr>
            <w:t>第三章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开标、评标须知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"_Toc115424828" </w:instrText>
          </w:r>
          <w:r>
            <w:rPr>
              <w:color w:val="auto"/>
              <w:highlight w:val="none"/>
            </w:rPr>
            <w:fldChar w:fldCharType="separate"/>
          </w:r>
          <w:r>
            <w:rPr>
              <w:rStyle w:val="23"/>
              <w:rFonts w:hint="eastAsia" w:ascii="宋体" w:hAnsi="宋体" w:eastAsia="宋体" w:cs="宋体"/>
              <w:color w:val="auto"/>
              <w:sz w:val="28"/>
              <w:szCs w:val="28"/>
              <w:highlight w:val="none"/>
            </w:rPr>
            <w:t>第四章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技术要求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left" w:pos="840"/>
              <w:tab w:val="right" w:leader="dot" w:pos="9771"/>
            </w:tabs>
            <w:rPr>
              <w:rFonts w:ascii="宋体" w:hAnsi="宋体" w:eastAsia="宋体" w:cs="宋体"/>
              <w:b w:val="0"/>
              <w:bCs w:val="0"/>
              <w:caps w:val="0"/>
              <w:color w:val="auto"/>
              <w:sz w:val="28"/>
              <w:szCs w:val="28"/>
              <w:highlight w:val="none"/>
            </w:rPr>
          </w:pPr>
          <w:r>
            <w:rPr>
              <w:color w:val="auto"/>
              <w:highlight w:val="none"/>
            </w:rPr>
            <w:fldChar w:fldCharType="begin"/>
          </w:r>
          <w:r>
            <w:rPr>
              <w:color w:val="auto"/>
              <w:highlight w:val="none"/>
            </w:rPr>
            <w:instrText xml:space="preserve"> HYPERLINK \l "_Toc115424829" </w:instrText>
          </w:r>
          <w:r>
            <w:rPr>
              <w:color w:val="auto"/>
              <w:highlight w:val="none"/>
            </w:rPr>
            <w:fldChar w:fldCharType="separate"/>
          </w:r>
          <w:r>
            <w:rPr>
              <w:rStyle w:val="23"/>
              <w:rFonts w:hint="eastAsia" w:ascii="宋体" w:hAnsi="宋体" w:eastAsia="宋体" w:cs="宋体"/>
              <w:color w:val="auto"/>
              <w:sz w:val="28"/>
              <w:szCs w:val="28"/>
              <w:highlight w:val="none"/>
            </w:rPr>
            <w:t>第五章</w:t>
          </w:r>
          <w:r>
            <w:rPr>
              <w:rFonts w:hint="eastAsia" w:ascii="宋体" w:hAnsi="宋体" w:eastAsia="宋体" w:cs="宋体"/>
              <w:b w:val="0"/>
              <w:bCs w:val="0"/>
              <w:caps w:val="0"/>
              <w:color w:val="auto"/>
              <w:sz w:val="28"/>
              <w:szCs w:val="28"/>
              <w:highlight w:val="none"/>
            </w:rPr>
            <w:t xml:space="preserve">  </w:t>
          </w:r>
          <w:r>
            <w:rPr>
              <w:rStyle w:val="23"/>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_Toc115424829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"_Toc115424830"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_Toc115424830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10</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"_Toc115424831"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竞标人关于资格的声明函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_Toc115424831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11</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"_Toc115424832"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法定代表人授权委托书</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_Toc115424832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12</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"_Toc115424833"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竞标人承诺函</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_Toc115424833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13</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"_Toc115424834"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开标一览表</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_Toc115424834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15</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pStyle w:val="17"/>
            <w:spacing w:line="480" w:lineRule="auto"/>
            <w:ind w:left="0"/>
            <w:rPr>
              <w:rStyle w:val="23"/>
              <w:rFonts w:ascii="宋体" w:hAnsi="宋体" w:eastAsia="宋体" w:cs="宋体"/>
              <w:caps/>
              <w:smallCaps w:val="0"/>
              <w:color w:val="auto"/>
              <w:sz w:val="28"/>
              <w:szCs w:val="28"/>
              <w:highlight w:val="none"/>
            </w:rPr>
          </w:pPr>
          <w:r>
            <w:rPr>
              <w:color w:val="auto"/>
              <w:highlight w:val="none"/>
            </w:rPr>
            <w:fldChar w:fldCharType="begin"/>
          </w:r>
          <w:r>
            <w:rPr>
              <w:color w:val="auto"/>
              <w:highlight w:val="none"/>
            </w:rPr>
            <w:instrText xml:space="preserve"> HYPERLINK \l "_Toc115424835" </w:instrText>
          </w:r>
          <w:r>
            <w:rPr>
              <w:color w:val="auto"/>
              <w:highlight w:val="none"/>
            </w:rPr>
            <w:fldChar w:fldCharType="separate"/>
          </w:r>
          <w:r>
            <w:rPr>
              <w:rStyle w:val="23"/>
              <w:rFonts w:hint="eastAsia" w:ascii="宋体" w:hAnsi="宋体" w:eastAsia="宋体" w:cs="宋体"/>
              <w:caps/>
              <w:smallCaps w:val="0"/>
              <w:color w:val="auto"/>
              <w:sz w:val="28"/>
              <w:szCs w:val="28"/>
              <w:highlight w:val="none"/>
            </w:rPr>
            <w:t>诚信合作与公平竞争协议</w:t>
          </w:r>
          <w:r>
            <w:rPr>
              <w:rStyle w:val="23"/>
              <w:rFonts w:hint="eastAsia" w:ascii="宋体" w:hAnsi="宋体" w:eastAsia="宋体" w:cs="宋体"/>
              <w:caps/>
              <w:smallCaps w:val="0"/>
              <w:color w:val="auto"/>
              <w:sz w:val="28"/>
              <w:szCs w:val="28"/>
              <w:highlight w:val="none"/>
            </w:rPr>
            <w:tab/>
          </w:r>
          <w:r>
            <w:rPr>
              <w:rStyle w:val="23"/>
              <w:rFonts w:hint="eastAsia" w:ascii="宋体" w:hAnsi="宋体" w:eastAsia="宋体" w:cs="宋体"/>
              <w:caps/>
              <w:smallCaps w:val="0"/>
              <w:color w:val="auto"/>
              <w:sz w:val="28"/>
              <w:szCs w:val="28"/>
              <w:highlight w:val="none"/>
            </w:rPr>
            <w:fldChar w:fldCharType="begin"/>
          </w:r>
          <w:r>
            <w:rPr>
              <w:rStyle w:val="23"/>
              <w:rFonts w:hint="eastAsia" w:ascii="宋体" w:hAnsi="宋体" w:eastAsia="宋体" w:cs="宋体"/>
              <w:caps/>
              <w:smallCaps w:val="0"/>
              <w:color w:val="auto"/>
              <w:sz w:val="28"/>
              <w:szCs w:val="28"/>
              <w:highlight w:val="none"/>
            </w:rPr>
            <w:instrText xml:space="preserve"> PAGEREF _Toc115424835 \h </w:instrText>
          </w:r>
          <w:r>
            <w:rPr>
              <w:rStyle w:val="23"/>
              <w:rFonts w:hint="eastAsia" w:ascii="宋体" w:hAnsi="宋体" w:eastAsia="宋体" w:cs="宋体"/>
              <w:caps/>
              <w:smallCaps w:val="0"/>
              <w:color w:val="auto"/>
              <w:sz w:val="28"/>
              <w:szCs w:val="28"/>
              <w:highlight w:val="none"/>
            </w:rPr>
            <w:fldChar w:fldCharType="separate"/>
          </w:r>
          <w:r>
            <w:rPr>
              <w:rStyle w:val="23"/>
              <w:rFonts w:hint="eastAsia" w:ascii="宋体" w:hAnsi="宋体" w:eastAsia="宋体" w:cs="宋体"/>
              <w:caps/>
              <w:smallCaps w:val="0"/>
              <w:color w:val="auto"/>
              <w:sz w:val="28"/>
              <w:szCs w:val="28"/>
              <w:highlight w:val="none"/>
            </w:rPr>
            <w:t>16</w:t>
          </w:r>
          <w:r>
            <w:rPr>
              <w:rStyle w:val="23"/>
              <w:rFonts w:hint="eastAsia" w:ascii="宋体" w:hAnsi="宋体" w:eastAsia="宋体" w:cs="宋体"/>
              <w:caps/>
              <w:smallCaps w:val="0"/>
              <w:color w:val="auto"/>
              <w:sz w:val="28"/>
              <w:szCs w:val="28"/>
              <w:highlight w:val="none"/>
            </w:rPr>
            <w:fldChar w:fldCharType="end"/>
          </w:r>
          <w:r>
            <w:rPr>
              <w:rStyle w:val="23"/>
              <w:rFonts w:hint="eastAsia" w:ascii="宋体" w:hAnsi="宋体" w:eastAsia="宋体" w:cs="宋体"/>
              <w:caps/>
              <w:smallCaps w:val="0"/>
              <w:color w:val="auto"/>
              <w:sz w:val="28"/>
              <w:szCs w:val="28"/>
              <w:highlight w:val="none"/>
            </w:rPr>
            <w:fldChar w:fldCharType="end"/>
          </w:r>
        </w:p>
        <w:p>
          <w:pPr>
            <w:rPr>
              <w:rFonts w:ascii="宋体" w:hAnsi="宋体" w:eastAsia="宋体" w:cs="宋体"/>
              <w:color w:val="auto"/>
              <w:highlight w:val="none"/>
            </w:rPr>
          </w:pPr>
          <w:r>
            <w:rPr>
              <w:rFonts w:hint="eastAsia" w:ascii="宋体" w:hAnsi="宋体" w:eastAsia="宋体" w:cs="宋体"/>
              <w:b/>
              <w:bCs/>
              <w:color w:val="auto"/>
              <w:highlight w:val="none"/>
              <w:lang w:val="zh-CN"/>
            </w:rPr>
            <w:fldChar w:fldCharType="end"/>
          </w:r>
        </w:p>
      </w:sdtContent>
    </w:sdt>
    <w:p>
      <w:pPr>
        <w:widowControl/>
        <w:snapToGrid w:val="0"/>
        <w:spacing w:line="360" w:lineRule="auto"/>
        <w:jc w:val="left"/>
        <w:rPr>
          <w:rFonts w:ascii="宋体" w:hAnsi="宋体" w:eastAsia="宋体" w:cs="宋体"/>
          <w:color w:val="auto"/>
          <w:sz w:val="28"/>
          <w:szCs w:val="28"/>
          <w:highlight w:val="none"/>
        </w:rPr>
      </w:pPr>
    </w:p>
    <w:p>
      <w:pPr>
        <w:widowControl/>
        <w:jc w:val="left"/>
        <w:rPr>
          <w:rFonts w:ascii="宋体" w:hAnsi="宋体" w:eastAsia="宋体" w:cs="宋体"/>
          <w:color w:val="auto"/>
          <w:sz w:val="24"/>
          <w:szCs w:val="28"/>
          <w:highlight w:val="none"/>
        </w:rPr>
        <w:sectPr>
          <w:footerReference r:id="rId3" w:type="default"/>
          <w:pgSz w:w="11906" w:h="16838"/>
          <w:pgMar w:top="993" w:right="991" w:bottom="851" w:left="1134" w:header="851" w:footer="348" w:gutter="0"/>
          <w:cols w:space="425" w:num="1"/>
          <w:docGrid w:type="lines" w:linePitch="312" w:charSpace="0"/>
        </w:sectPr>
      </w:pPr>
    </w:p>
    <w:p>
      <w:pPr>
        <w:widowControl/>
        <w:jc w:val="left"/>
        <w:rPr>
          <w:rFonts w:ascii="宋体" w:hAnsi="宋体" w:eastAsia="宋体" w:cs="宋体"/>
          <w:color w:val="auto"/>
          <w:sz w:val="24"/>
          <w:szCs w:val="28"/>
          <w:highlight w:val="none"/>
        </w:rPr>
      </w:pPr>
    </w:p>
    <w:p>
      <w:pPr>
        <w:pStyle w:val="28"/>
        <w:numPr>
          <w:ilvl w:val="0"/>
          <w:numId w:val="1"/>
        </w:numPr>
        <w:snapToGrid w:val="0"/>
        <w:spacing w:line="360" w:lineRule="auto"/>
        <w:ind w:left="0" w:firstLine="0" w:firstLineChars="0"/>
        <w:jc w:val="center"/>
        <w:outlineLvl w:val="0"/>
        <w:rPr>
          <w:rFonts w:ascii="宋体" w:hAnsi="宋体" w:eastAsia="宋体" w:cs="宋体"/>
          <w:b/>
          <w:bCs/>
          <w:color w:val="auto"/>
          <w:sz w:val="32"/>
          <w:szCs w:val="32"/>
          <w:highlight w:val="none"/>
        </w:rPr>
      </w:pPr>
      <w:bookmarkStart w:id="0" w:name="_Toc115424825"/>
      <w:bookmarkStart w:id="1" w:name="_Toc115362799"/>
      <w:bookmarkStart w:id="2" w:name="_Toc115362483"/>
      <w:bookmarkStart w:id="3" w:name="_Toc115362580"/>
      <w:bookmarkStart w:id="4" w:name="_Hlk115359927"/>
      <w:r>
        <w:rPr>
          <w:rFonts w:hint="eastAsia" w:ascii="宋体" w:hAnsi="宋体" w:eastAsia="宋体" w:cs="宋体"/>
          <w:b/>
          <w:bCs/>
          <w:color w:val="auto"/>
          <w:sz w:val="32"/>
          <w:szCs w:val="32"/>
          <w:highlight w:val="none"/>
        </w:rPr>
        <w:t>竞标邀请书</w:t>
      </w:r>
      <w:bookmarkEnd w:id="0"/>
      <w:bookmarkEnd w:id="1"/>
      <w:bookmarkEnd w:id="2"/>
      <w:bookmarkEnd w:id="3"/>
    </w:p>
    <w:bookmarkEnd w:id="4"/>
    <w:p>
      <w:pPr>
        <w:snapToGrid w:val="0"/>
        <w:spacing w:line="360" w:lineRule="auto"/>
        <w:ind w:firstLine="420"/>
        <w:jc w:val="left"/>
        <w:rPr>
          <w:rFonts w:ascii="宋体" w:hAnsi="宋体" w:eastAsia="宋体" w:cs="宋体"/>
          <w:color w:val="auto"/>
          <w:highlight w:val="none"/>
        </w:rPr>
      </w:pPr>
      <w:bookmarkStart w:id="5" w:name="_Hlk115360115"/>
      <w:r>
        <w:rPr>
          <w:rFonts w:hint="eastAsia" w:ascii="宋体" w:hAnsi="宋体" w:eastAsia="宋体" w:cs="宋体"/>
          <w:color w:val="auto"/>
          <w:highlight w:val="none"/>
        </w:rPr>
        <w:t>本次招标，旨在通过邀请符合资质及技术等要求的单位进行竞标，从而选择最符合我司需求的</w:t>
      </w:r>
      <w:r>
        <w:rPr>
          <w:rFonts w:hint="eastAsia" w:ascii="宋体" w:hAnsi="宋体" w:eastAsia="宋体" w:cs="宋体"/>
          <w:color w:val="auto"/>
          <w:highlight w:val="none"/>
          <w:lang w:val="en-US" w:eastAsia="zh-CN"/>
        </w:rPr>
        <w:t>产品</w:t>
      </w:r>
      <w:r>
        <w:rPr>
          <w:rFonts w:hint="eastAsia" w:ascii="宋体" w:hAnsi="宋体" w:eastAsia="宋体" w:cs="宋体"/>
          <w:color w:val="auto"/>
          <w:highlight w:val="none"/>
        </w:rPr>
        <w:t>及服务。本着公平、公正、公开的原则，现对“眉山琏升光伏科技有限公司新能源 8GW 高效异质结电池片项目</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rPr>
        <w:t>”进行招标，具体内容如下：</w:t>
      </w:r>
    </w:p>
    <w:p>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1、项目概况</w:t>
      </w:r>
    </w:p>
    <w:p>
      <w:pPr>
        <w:widowControl/>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1.1项目名称： 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p>
      <w:pPr>
        <w:snapToGrid w:val="0"/>
        <w:spacing w:line="360" w:lineRule="auto"/>
        <w:ind w:left="2310" w:hanging="2310" w:hangingChars="1100"/>
        <w:jc w:val="left"/>
        <w:rPr>
          <w:rFonts w:ascii="宋体" w:hAnsi="宋体" w:eastAsia="宋体" w:cs="宋体"/>
          <w:color w:val="auto"/>
          <w:highlight w:val="none"/>
        </w:rPr>
      </w:pPr>
      <w:r>
        <w:rPr>
          <w:rFonts w:hint="eastAsia" w:ascii="宋体" w:hAnsi="宋体" w:eastAsia="宋体" w:cs="宋体"/>
          <w:color w:val="auto"/>
          <w:highlight w:val="none"/>
        </w:rPr>
        <w:t>1.2项目地址：四川省眉山市丹棱县（丹棱经济开发区A区）兴欣大道1号</w:t>
      </w:r>
    </w:p>
    <w:p>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2、招竞标流程</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2.1招标管理小组向有意参与竞标的企业以电子邮件方式发送竞争性谈判文件；</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2.2竞标企业编制竞标文件，并采用将标书直接带至招标现场的方式送达竞标文件；</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2.3招标管理小组组织开标和评标，确定中标候选单位并最终确定中标单位；</w:t>
      </w:r>
    </w:p>
    <w:p>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2.4与中标单位签订项目合同。</w:t>
      </w:r>
    </w:p>
    <w:p>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3、招标范围</w:t>
      </w:r>
    </w:p>
    <w:p>
      <w:pPr>
        <w:snapToGrid w:val="0"/>
        <w:spacing w:line="360" w:lineRule="auto"/>
        <w:jc w:val="left"/>
        <w:outlineLvl w:val="2"/>
        <w:rPr>
          <w:rFonts w:ascii="宋体" w:hAnsi="宋体" w:eastAsia="宋体" w:cs="宋体"/>
          <w:color w:val="auto"/>
          <w:highlight w:val="none"/>
        </w:rPr>
      </w:pPr>
      <w:r>
        <w:rPr>
          <w:rFonts w:hint="eastAsia" w:ascii="宋体" w:hAnsi="宋体" w:eastAsia="宋体" w:cs="宋体"/>
          <w:color w:val="auto"/>
          <w:highlight w:val="none"/>
        </w:rPr>
        <w:t>3.1详见招标文件</w:t>
      </w:r>
      <w:r>
        <w:rPr>
          <w:rFonts w:hint="eastAsia" w:ascii="宋体" w:hAnsi="宋体" w:eastAsia="宋体" w:cs="宋体"/>
          <w:b/>
          <w:bCs/>
          <w:color w:val="auto"/>
          <w:highlight w:val="none"/>
        </w:rPr>
        <w:t>附件9</w:t>
      </w:r>
      <w:r>
        <w:rPr>
          <w:rFonts w:hint="eastAsia" w:ascii="宋体" w:hAnsi="宋体" w:eastAsia="宋体" w:cs="宋体"/>
          <w:color w:val="auto"/>
          <w:highlight w:val="none"/>
        </w:rPr>
        <w:t>《招标采购技术要求规范》。</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3.2本次竞标报价后根据技术及商务评审情况，不排除各竞标单位进行二次竞标或议价的安排。</w:t>
      </w:r>
    </w:p>
    <w:p>
      <w:pPr>
        <w:snapToGrid w:val="0"/>
        <w:spacing w:line="360" w:lineRule="auto"/>
        <w:jc w:val="left"/>
        <w:outlineLvl w:val="1"/>
        <w:rPr>
          <w:rFonts w:ascii="宋体" w:hAnsi="宋体" w:eastAsia="宋体" w:cs="宋体"/>
          <w:b/>
          <w:bCs/>
          <w:color w:val="auto"/>
          <w:highlight w:val="none"/>
        </w:rPr>
      </w:pPr>
      <w:r>
        <w:rPr>
          <w:rFonts w:hint="eastAsia" w:ascii="宋体" w:hAnsi="宋体" w:eastAsia="宋体" w:cs="宋体"/>
          <w:b/>
          <w:bCs/>
          <w:color w:val="auto"/>
          <w:highlight w:val="none"/>
        </w:rPr>
        <w:t>4、投标时间</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4.1本次竞标截止时间：请于202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日9点00分前（北京时间）前将竞标文件亲自送达至商务联系人处，逾期恕不接纳。</w:t>
      </w:r>
    </w:p>
    <w:p>
      <w:pPr>
        <w:snapToGrid w:val="0"/>
        <w:spacing w:line="360" w:lineRule="auto"/>
        <w:jc w:val="left"/>
        <w:outlineLvl w:val="1"/>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4.2 送达地址：【四川省</w:t>
      </w:r>
      <w:r>
        <w:rPr>
          <w:rFonts w:hint="eastAsia" w:ascii="宋体" w:hAnsi="宋体" w:eastAsia="宋体" w:cs="宋体"/>
          <w:color w:val="auto"/>
          <w:highlight w:val="none"/>
          <w:lang w:val="en-US" w:eastAsia="zh-CN"/>
        </w:rPr>
        <w:t>眉山市丹棱县眉山琏升光伏科技有限公司】</w:t>
      </w:r>
    </w:p>
    <w:p>
      <w:pPr>
        <w:snapToGrid w:val="0"/>
        <w:spacing w:line="360" w:lineRule="auto"/>
        <w:jc w:val="left"/>
        <w:outlineLvl w:val="1"/>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 请供应商于2024年08月08日早上9点前到技术联系人处做除氟剂测试实验，实验的结果将作为评标考察因素。</w:t>
      </w:r>
    </w:p>
    <w:p>
      <w:pPr>
        <w:spacing w:line="360" w:lineRule="auto"/>
        <w:outlineLvl w:val="1"/>
        <w:rPr>
          <w:rFonts w:ascii="宋体" w:hAnsi="宋体" w:eastAsia="宋体" w:cs="宋体"/>
          <w:b/>
          <w:bCs/>
          <w:color w:val="auto"/>
          <w:highlight w:val="none"/>
        </w:rPr>
      </w:pPr>
      <w:r>
        <w:rPr>
          <w:rFonts w:hint="eastAsia" w:ascii="宋体" w:hAnsi="宋体" w:eastAsia="宋体" w:cs="宋体"/>
          <w:b/>
          <w:bCs/>
          <w:color w:val="auto"/>
          <w:highlight w:val="none"/>
        </w:rPr>
        <w:t>5、开、评标时间及地点</w:t>
      </w:r>
    </w:p>
    <w:p>
      <w:pPr>
        <w:spacing w:line="360" w:lineRule="auto"/>
        <w:rPr>
          <w:rFonts w:ascii="宋体" w:hAnsi="宋体" w:eastAsia="宋体" w:cs="宋体"/>
          <w:color w:val="auto"/>
          <w:highlight w:val="yellow"/>
        </w:rPr>
      </w:pPr>
      <w:r>
        <w:rPr>
          <w:rFonts w:hint="eastAsia" w:ascii="宋体" w:hAnsi="宋体" w:eastAsia="宋体" w:cs="宋体"/>
          <w:color w:val="auto"/>
          <w:highlight w:val="none"/>
        </w:rPr>
        <w:t>5.1开标时间为</w:t>
      </w:r>
      <w:r>
        <w:rPr>
          <w:rFonts w:hint="eastAsia" w:ascii="宋体" w:hAnsi="宋体" w:eastAsia="宋体" w:cs="宋体"/>
          <w:color w:val="auto"/>
          <w:highlight w:val="none"/>
          <w:lang w:val="en-US" w:eastAsia="zh-CN"/>
        </w:rPr>
        <w:t>2024年08月09日上午9点00分，评标时间为2024年08月09日。</w:t>
      </w:r>
    </w:p>
    <w:p>
      <w:pPr>
        <w:spacing w:line="360" w:lineRule="auto"/>
        <w:rPr>
          <w:rFonts w:hint="default" w:ascii="宋体" w:hAnsi="宋体" w:eastAsia="宋体" w:cs="宋体"/>
          <w:color w:val="auto"/>
          <w:highlight w:val="none"/>
          <w:lang w:val="en-US"/>
        </w:rPr>
      </w:pPr>
      <w:r>
        <w:rPr>
          <w:rFonts w:hint="eastAsia" w:ascii="宋体" w:hAnsi="宋体" w:eastAsia="宋体" w:cs="宋体"/>
          <w:color w:val="auto"/>
          <w:highlight w:val="none"/>
        </w:rPr>
        <w:t>5.2开、评标地点：四川省</w:t>
      </w:r>
      <w:r>
        <w:rPr>
          <w:rFonts w:hint="eastAsia" w:ascii="宋体" w:hAnsi="宋体" w:eastAsia="宋体" w:cs="宋体"/>
          <w:color w:val="auto"/>
          <w:highlight w:val="none"/>
          <w:lang w:val="en-US" w:eastAsia="zh-CN"/>
        </w:rPr>
        <w:t>眉山市丹棱县眉山琏升光伏科技有限公司会议室</w:t>
      </w:r>
    </w:p>
    <w:p>
      <w:pPr>
        <w:snapToGrid w:val="0"/>
        <w:spacing w:line="360" w:lineRule="auto"/>
        <w:jc w:val="left"/>
        <w:outlineLvl w:val="1"/>
        <w:rPr>
          <w:rFonts w:ascii="宋体" w:hAnsi="宋体" w:eastAsia="宋体" w:cs="宋体"/>
          <w:color w:val="auto"/>
          <w:highlight w:val="none"/>
        </w:rPr>
      </w:pPr>
      <w:r>
        <w:rPr>
          <w:rFonts w:hint="eastAsia" w:ascii="宋体" w:hAnsi="宋体" w:eastAsia="宋体" w:cs="宋体"/>
          <w:b/>
          <w:bCs/>
          <w:color w:val="auto"/>
          <w:highlight w:val="none"/>
        </w:rPr>
        <w:t>6、联系方式</w:t>
      </w:r>
    </w:p>
    <w:p>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技术联系人及联系方式：</w:t>
      </w:r>
    </w:p>
    <w:p>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w:t>
      </w:r>
      <w:r>
        <w:rPr>
          <w:rFonts w:hint="eastAsia" w:ascii="宋体" w:hAnsi="宋体" w:eastAsia="宋体" w:cs="宋体"/>
          <w:color w:val="auto"/>
          <w:highlight w:val="none"/>
        </w:rPr>
        <w:t>联系人及联系方式</w:t>
      </w:r>
      <w:r>
        <w:rPr>
          <w:rFonts w:hint="eastAsia" w:ascii="宋体" w:hAnsi="宋体" w:eastAsia="宋体" w:cs="宋体"/>
          <w:color w:val="auto"/>
          <w:highlight w:val="none"/>
          <w:lang w:val="en-US" w:eastAsia="zh-CN"/>
        </w:rPr>
        <w:t>：尹瑶  13982254887 yiny@leascend.com</w:t>
      </w:r>
    </w:p>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商务联系人及联系方式：</w:t>
      </w:r>
      <w:r>
        <w:rPr>
          <w:rFonts w:hint="eastAsia" w:ascii="宋体" w:hAnsi="宋体" w:eastAsia="宋体" w:cs="宋体"/>
          <w:color w:val="auto"/>
          <w:highlight w:val="none"/>
          <w:lang w:val="en-US" w:eastAsia="zh-CN"/>
        </w:rPr>
        <w:t>邱伟</w:t>
      </w:r>
      <w:r>
        <w:rPr>
          <w:rFonts w:hint="eastAsia" w:ascii="宋体" w:hAnsi="宋体" w:eastAsia="宋体" w:cs="宋体"/>
          <w:color w:val="auto"/>
          <w:highlight w:val="none"/>
        </w:rPr>
        <w:tab/>
      </w:r>
      <w:r>
        <w:rPr>
          <w:rFonts w:hint="eastAsia" w:ascii="宋体" w:hAnsi="宋体" w:eastAsia="宋体" w:cs="宋体"/>
          <w:color w:val="auto"/>
          <w:highlight w:val="none"/>
          <w:lang w:val="en-US" w:eastAsia="zh-CN"/>
        </w:rPr>
        <w:t>18380448482</w:t>
      </w:r>
      <w:r>
        <w:rPr>
          <w:rFonts w:hint="eastAsia" w:ascii="宋体" w:hAnsi="宋体" w:eastAsia="宋体" w:cs="宋体"/>
          <w:color w:val="auto"/>
          <w:highlight w:val="none"/>
        </w:rPr>
        <w:tab/>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qiuw</w:t>
      </w:r>
      <w:r>
        <w:rPr>
          <w:rFonts w:hint="eastAsia" w:ascii="宋体" w:hAnsi="宋体" w:eastAsia="宋体" w:cs="宋体"/>
          <w:color w:val="auto"/>
          <w:highlight w:val="none"/>
        </w:rPr>
        <w:t>@Leascend</w:t>
      </w:r>
      <w:r>
        <w:rPr>
          <w:rFonts w:hint="eastAsia" w:ascii="宋体" w:hAnsi="宋体" w:eastAsia="宋体" w:cs="宋体"/>
          <w:color w:val="auto"/>
          <w:highlight w:val="none"/>
          <w:lang w:val="en-US" w:eastAsia="zh-CN"/>
        </w:rPr>
        <w:t>.com</w:t>
      </w:r>
      <w:r>
        <w:rPr>
          <w:rFonts w:hint="eastAsia" w:ascii="宋体" w:hAnsi="宋体" w:eastAsia="宋体" w:cs="宋体"/>
          <w:color w:val="auto"/>
          <w:highlight w:val="none"/>
        </w:rPr>
        <w:t>；</w:t>
      </w:r>
    </w:p>
    <w:p>
      <w:pPr>
        <w:widowControl/>
        <w:jc w:val="left"/>
        <w:rPr>
          <w:rFonts w:ascii="宋体" w:hAnsi="宋体" w:eastAsia="宋体" w:cs="宋体"/>
          <w:color w:val="auto"/>
          <w:sz w:val="22"/>
          <w:szCs w:val="24"/>
          <w:highlight w:val="none"/>
        </w:rPr>
      </w:pPr>
      <w:r>
        <w:rPr>
          <w:rFonts w:hint="eastAsia" w:ascii="宋体" w:hAnsi="宋体" w:eastAsia="宋体" w:cs="宋体"/>
          <w:color w:val="auto"/>
          <w:sz w:val="22"/>
          <w:szCs w:val="24"/>
          <w:highlight w:val="none"/>
        </w:rPr>
        <w:br w:type="page"/>
      </w:r>
    </w:p>
    <w:bookmarkEnd w:id="5"/>
    <w:p>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6" w:name="_Hlk115359833"/>
      <w:bookmarkStart w:id="7" w:name="_Toc115362581"/>
      <w:bookmarkStart w:id="8" w:name="_Toc115362800"/>
      <w:bookmarkStart w:id="9" w:name="_Toc115362484"/>
      <w:bookmarkStart w:id="10" w:name="_Toc115424826"/>
      <w:r>
        <w:rPr>
          <w:rFonts w:hint="eastAsia" w:ascii="宋体" w:hAnsi="宋体" w:eastAsia="宋体" w:cs="宋体"/>
          <w:b/>
          <w:bCs/>
          <w:color w:val="auto"/>
          <w:sz w:val="32"/>
          <w:szCs w:val="32"/>
          <w:highlight w:val="none"/>
        </w:rPr>
        <w:t>竞标前须知</w:t>
      </w:r>
      <w:bookmarkEnd w:id="6"/>
      <w:bookmarkEnd w:id="7"/>
      <w:bookmarkEnd w:id="8"/>
      <w:bookmarkEnd w:id="9"/>
      <w:bookmarkEnd w:id="10"/>
    </w:p>
    <w:p>
      <w:pPr>
        <w:pStyle w:val="30"/>
        <w:snapToGrid w:val="0"/>
        <w:ind w:firstLine="0" w:firstLineChars="0"/>
        <w:rPr>
          <w:rFonts w:ascii="宋体" w:hAnsi="宋体" w:cs="宋体"/>
          <w:color w:val="auto"/>
          <w:highlight w:val="none"/>
        </w:rPr>
      </w:pPr>
      <w:r>
        <w:rPr>
          <w:rFonts w:hint="eastAsia" w:ascii="宋体" w:hAnsi="宋体" w:cs="宋体"/>
          <w:color w:val="auto"/>
          <w:highlight w:val="none"/>
        </w:rPr>
        <w:t>1、竞标人须知附表</w:t>
      </w:r>
    </w:p>
    <w:tbl>
      <w:tblPr>
        <w:tblStyle w:val="20"/>
        <w:tblW w:w="9923" w:type="dxa"/>
        <w:tblInd w:w="-147" w:type="dxa"/>
        <w:tblLayout w:type="autofit"/>
        <w:tblCellMar>
          <w:top w:w="0" w:type="dxa"/>
          <w:left w:w="108" w:type="dxa"/>
          <w:bottom w:w="0" w:type="dxa"/>
          <w:right w:w="108" w:type="dxa"/>
        </w:tblCellMar>
      </w:tblPr>
      <w:tblGrid>
        <w:gridCol w:w="851"/>
        <w:gridCol w:w="1276"/>
        <w:gridCol w:w="7796"/>
      </w:tblGrid>
      <w:tr>
        <w:tblPrEx>
          <w:tblCellMar>
            <w:top w:w="0" w:type="dxa"/>
            <w:left w:w="108" w:type="dxa"/>
            <w:bottom w:w="0" w:type="dxa"/>
            <w:right w:w="108" w:type="dxa"/>
          </w:tblCellMar>
        </w:tblPrEx>
        <w:trPr>
          <w:trHeight w:val="548"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编列内容</w:t>
            </w:r>
          </w:p>
        </w:tc>
      </w:tr>
      <w:tr>
        <w:tblPrEx>
          <w:tblCellMar>
            <w:top w:w="0" w:type="dxa"/>
            <w:left w:w="108" w:type="dxa"/>
            <w:bottom w:w="0" w:type="dxa"/>
            <w:right w:w="108" w:type="dxa"/>
          </w:tblCellMar>
        </w:tblPrEx>
        <w:trPr>
          <w:trHeight w:val="39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眉山琏升光伏科技有限公司</w:t>
            </w:r>
          </w:p>
        </w:tc>
      </w:tr>
      <w:tr>
        <w:tblPrEx>
          <w:tblCellMar>
            <w:top w:w="0" w:type="dxa"/>
            <w:left w:w="108" w:type="dxa"/>
            <w:bottom w:w="0" w:type="dxa"/>
            <w:right w:w="108" w:type="dxa"/>
          </w:tblCellMar>
        </w:tblPrEx>
        <w:trPr>
          <w:trHeight w:val="85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szCs w:val="21"/>
                <w:highlight w:val="none"/>
                <w:lang w:val="en-US" w:eastAsia="zh-CN"/>
              </w:rPr>
            </w:pPr>
            <w:r>
              <w:rPr>
                <w:rFonts w:hint="eastAsia" w:ascii="宋体" w:hAnsi="宋体" w:eastAsia="宋体" w:cs="宋体"/>
                <w:color w:val="auto"/>
                <w:highlight w:val="none"/>
              </w:rPr>
              <w:t>眉山琏升光伏科技有限公司新能源 8GW 高效异质结电池片项目--</w:t>
            </w:r>
            <w:r>
              <w:rPr>
                <w:rFonts w:hint="eastAsia" w:ascii="宋体" w:hAnsi="宋体" w:eastAsia="宋体" w:cs="宋体"/>
                <w:color w:val="auto"/>
                <w:highlight w:val="none"/>
                <w:lang w:eastAsia="zh-CN"/>
              </w:rPr>
              <w:t>水处理药剂</w:t>
            </w:r>
            <w:r>
              <w:rPr>
                <w:rFonts w:hint="eastAsia" w:ascii="宋体" w:hAnsi="宋体" w:eastAsia="宋体" w:cs="宋体"/>
                <w:color w:val="auto"/>
                <w:highlight w:val="none"/>
                <w:lang w:val="en-US" w:eastAsia="zh-CN"/>
              </w:rPr>
              <w:t>项目</w:t>
            </w:r>
          </w:p>
        </w:tc>
      </w:tr>
      <w:tr>
        <w:tblPrEx>
          <w:tblCellMar>
            <w:top w:w="0" w:type="dxa"/>
            <w:left w:w="108" w:type="dxa"/>
            <w:bottom w:w="0" w:type="dxa"/>
            <w:right w:w="108" w:type="dxa"/>
          </w:tblCellMar>
        </w:tblPrEx>
        <w:trPr>
          <w:trHeight w:val="54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left"/>
              <w:rPr>
                <w:rFonts w:ascii="宋体" w:hAnsi="宋体" w:eastAsia="宋体" w:cs="宋体"/>
                <w:color w:val="auto"/>
                <w:highlight w:val="none"/>
              </w:rPr>
            </w:pPr>
            <w:r>
              <w:rPr>
                <w:rFonts w:hint="eastAsia" w:ascii="宋体" w:hAnsi="宋体" w:eastAsia="宋体" w:cs="宋体"/>
                <w:color w:val="auto"/>
                <w:highlight w:val="none"/>
              </w:rPr>
              <w:t>项目数量</w:t>
            </w:r>
          </w:p>
        </w:tc>
        <w:tc>
          <w:tcPr>
            <w:tcW w:w="7796"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color w:val="auto"/>
                <w:highlight w:val="none"/>
                <w:lang w:val="en-US"/>
              </w:rPr>
            </w:pPr>
            <w:r>
              <w:rPr>
                <w:rFonts w:hint="eastAsia" w:ascii="宋体" w:hAnsi="宋体" w:eastAsia="宋体" w:cs="宋体"/>
                <w:color w:val="auto"/>
                <w:highlight w:val="none"/>
                <w:lang w:val="en-US" w:eastAsia="zh-CN"/>
              </w:rPr>
              <w:t>参考详附件</w:t>
            </w:r>
          </w:p>
        </w:tc>
      </w:tr>
      <w:tr>
        <w:tblPrEx>
          <w:tblCellMar>
            <w:top w:w="0" w:type="dxa"/>
            <w:left w:w="108" w:type="dxa"/>
            <w:bottom w:w="0" w:type="dxa"/>
            <w:right w:w="108" w:type="dxa"/>
          </w:tblCellMar>
        </w:tblPrEx>
        <w:trPr>
          <w:trHeight w:val="9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实施周期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default" w:ascii="宋体" w:hAnsi="宋体" w:eastAsia="宋体" w:cs="宋体"/>
                <w:color w:val="auto"/>
                <w:szCs w:val="21"/>
                <w:highlight w:val="none"/>
                <w:lang w:val="en-US"/>
              </w:rPr>
            </w:pPr>
            <w:r>
              <w:rPr>
                <w:rFonts w:hint="eastAsia" w:ascii="宋体" w:hAnsi="宋体" w:eastAsia="宋体" w:cs="宋体"/>
                <w:color w:val="auto"/>
                <w:highlight w:val="none"/>
                <w:lang w:val="en-US" w:eastAsia="zh-CN"/>
              </w:rPr>
              <w:t>1年(2024年9月-2025年8月)</w:t>
            </w:r>
          </w:p>
        </w:tc>
      </w:tr>
      <w:tr>
        <w:tblPrEx>
          <w:tblCellMar>
            <w:top w:w="0" w:type="dxa"/>
            <w:left w:w="108" w:type="dxa"/>
            <w:bottom w:w="0" w:type="dxa"/>
            <w:right w:w="108" w:type="dxa"/>
          </w:tblCellMar>
        </w:tblPrEx>
        <w:trPr>
          <w:trHeight w:val="106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default"/>
                <w:color w:val="auto"/>
                <w:highlight w:val="none"/>
                <w:lang w:val="en-US"/>
              </w:rPr>
            </w:pPr>
            <w:r>
              <w:rPr>
                <w:rFonts w:hint="eastAsia"/>
                <w:color w:val="auto"/>
                <w:highlight w:val="none"/>
                <w:lang w:val="en-US" w:eastAsia="zh-CN"/>
              </w:rPr>
              <w:t>全部银行承兑（不超过6个月）</w:t>
            </w:r>
            <w:r>
              <w:rPr>
                <w:rFonts w:hint="eastAsia"/>
                <w:color w:val="auto"/>
                <w:highlight w:val="none"/>
                <w:lang w:eastAsia="zh-CN"/>
              </w:rPr>
              <w:t>；</w:t>
            </w:r>
            <w:r>
              <w:rPr>
                <w:rFonts w:hint="eastAsia"/>
                <w:color w:val="auto"/>
                <w:highlight w:val="none"/>
                <w:lang w:val="en-US" w:eastAsia="zh-CN"/>
              </w:rPr>
              <w:t>月结90天</w:t>
            </w:r>
            <w:r>
              <w:rPr>
                <w:rFonts w:hint="eastAsia"/>
                <w:color w:val="auto"/>
                <w:highlight w:val="none"/>
                <w:lang w:val="zh-CN" w:eastAsia="zh-CN"/>
              </w:rPr>
              <w:t>，每</w:t>
            </w:r>
            <w:r>
              <w:rPr>
                <w:rFonts w:hint="eastAsia"/>
                <w:color w:val="auto"/>
                <w:highlight w:val="none"/>
                <w:lang w:val="en-US" w:eastAsia="zh-CN"/>
              </w:rPr>
              <w:t>月30日</w:t>
            </w:r>
            <w:r>
              <w:rPr>
                <w:rFonts w:hint="eastAsia"/>
                <w:color w:val="auto"/>
                <w:highlight w:val="none"/>
                <w:lang w:val="zh-CN" w:eastAsia="zh-CN"/>
              </w:rPr>
              <w:t>根据</w:t>
            </w:r>
            <w:r>
              <w:rPr>
                <w:rFonts w:hint="eastAsia"/>
                <w:color w:val="auto"/>
                <w:highlight w:val="none"/>
                <w:lang w:val="en-US" w:eastAsia="zh-CN"/>
              </w:rPr>
              <w:t>当月</w:t>
            </w:r>
            <w:r>
              <w:rPr>
                <w:rFonts w:hint="eastAsia"/>
                <w:color w:val="auto"/>
                <w:highlight w:val="none"/>
                <w:lang w:val="zh-CN" w:eastAsia="zh-CN"/>
              </w:rPr>
              <w:t>实际</w:t>
            </w:r>
            <w:r>
              <w:rPr>
                <w:rFonts w:hint="eastAsia"/>
                <w:color w:val="auto"/>
                <w:highlight w:val="none"/>
                <w:lang w:val="en-US" w:eastAsia="zh-CN"/>
              </w:rPr>
              <w:t>交付且验收合格的</w:t>
            </w:r>
            <w:r>
              <w:rPr>
                <w:rFonts w:hint="eastAsia"/>
                <w:color w:val="auto"/>
                <w:highlight w:val="none"/>
                <w:lang w:val="zh-CN" w:eastAsia="zh-CN"/>
              </w:rPr>
              <w:t>数量及合同清单价格</w:t>
            </w:r>
            <w:r>
              <w:rPr>
                <w:rFonts w:hint="eastAsia"/>
                <w:color w:val="auto"/>
                <w:highlight w:val="none"/>
                <w:lang w:val="en-US" w:eastAsia="zh-CN"/>
              </w:rPr>
              <w:t>90日内</w:t>
            </w:r>
            <w:r>
              <w:rPr>
                <w:rFonts w:hint="eastAsia"/>
                <w:color w:val="auto"/>
                <w:highlight w:val="none"/>
                <w:lang w:val="zh-CN" w:eastAsia="zh-CN"/>
              </w:rPr>
              <w:t>进行结算，</w:t>
            </w:r>
            <w:r>
              <w:rPr>
                <w:rFonts w:hint="eastAsia"/>
                <w:color w:val="auto"/>
                <w:highlight w:val="none"/>
                <w:lang w:val="en-US" w:eastAsia="zh-CN"/>
              </w:rPr>
              <w:t>具体付款方式以现场洽谈为准。每次付款前应向招</w:t>
            </w:r>
            <w:bookmarkStart w:id="76" w:name="_GoBack"/>
            <w:bookmarkEnd w:id="76"/>
            <w:r>
              <w:rPr>
                <w:rFonts w:hint="eastAsia"/>
                <w:color w:val="auto"/>
                <w:highlight w:val="none"/>
                <w:lang w:val="en-US" w:eastAsia="zh-CN"/>
              </w:rPr>
              <w:t>标人开具足额增值税专用发票。</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0日历天（从竞标截止之日算起）</w:t>
            </w:r>
          </w:p>
        </w:tc>
      </w:tr>
      <w:tr>
        <w:tblPrEx>
          <w:tblCellMar>
            <w:top w:w="0" w:type="dxa"/>
            <w:left w:w="108" w:type="dxa"/>
            <w:bottom w:w="0" w:type="dxa"/>
            <w:right w:w="108" w:type="dxa"/>
          </w:tblCellMar>
        </w:tblPrEx>
        <w:trPr>
          <w:trHeight w:val="11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资金来源、承包方式及合同方式</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签订框架合同，招标人有权根据系统或者单项单价最低分标，每月以订单形式下单</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不接受</w:t>
            </w:r>
          </w:p>
        </w:tc>
      </w:tr>
      <w:tr>
        <w:tblPrEx>
          <w:tblCellMar>
            <w:top w:w="0" w:type="dxa"/>
            <w:left w:w="108" w:type="dxa"/>
            <w:bottom w:w="0" w:type="dxa"/>
            <w:right w:w="108" w:type="dxa"/>
          </w:tblCellMar>
        </w:tblPrEx>
        <w:trPr>
          <w:trHeight w:val="57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分标</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招标人有权对招标项目进行分标，</w:t>
            </w:r>
            <w:r>
              <w:rPr>
                <w:rFonts w:hint="eastAsia" w:ascii="宋体" w:hAnsi="宋体" w:eastAsia="宋体" w:cs="宋体"/>
                <w:color w:val="auto"/>
                <w:szCs w:val="21"/>
                <w:highlight w:val="none"/>
                <w:lang w:val="en-US" w:eastAsia="zh-CN"/>
              </w:rPr>
              <w:t>或选择第一、第二中标人，</w:t>
            </w:r>
            <w:r>
              <w:rPr>
                <w:rFonts w:hint="eastAsia" w:ascii="宋体" w:hAnsi="宋体" w:eastAsia="宋体" w:cs="宋体"/>
                <w:color w:val="auto"/>
                <w:szCs w:val="21"/>
                <w:highlight w:val="none"/>
              </w:rPr>
              <w:t>竞标人</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rPr>
              <w:t>就分标和总标分别报价。</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10</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分包、转包</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严禁转包。未经招标人书面同意，中标人不得</w:t>
            </w:r>
            <w:r>
              <w:rPr>
                <w:rFonts w:hint="eastAsia" w:ascii="宋体" w:hAnsi="宋体" w:eastAsia="宋体" w:cs="宋体"/>
                <w:color w:val="auto"/>
                <w:szCs w:val="21"/>
                <w:highlight w:val="none"/>
                <w:lang w:val="en-US" w:eastAsia="zh-CN"/>
              </w:rPr>
              <w:t>擅自</w:t>
            </w:r>
            <w:r>
              <w:rPr>
                <w:rFonts w:hint="eastAsia" w:ascii="宋体" w:hAnsi="宋体" w:eastAsia="宋体" w:cs="宋体"/>
                <w:color w:val="auto"/>
                <w:szCs w:val="21"/>
                <w:highlight w:val="none"/>
              </w:rPr>
              <w:t>变更项目经理、项目主要负责人。法律规定可分包部分的，经招标人书面同意后可进行分包，除此之外，中标人不得进行任何形式的分包。</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竞标文件应牢固胶装成册，不可插页或抽页。</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竞标文件：</w:t>
            </w:r>
            <w:r>
              <w:rPr>
                <w:rFonts w:hint="eastAsia" w:ascii="宋体" w:hAnsi="宋体" w:eastAsia="宋体" w:cs="宋体"/>
                <w:b/>
                <w:bCs/>
                <w:color w:val="auto"/>
                <w:szCs w:val="21"/>
                <w:highlight w:val="none"/>
              </w:rPr>
              <w:t>按商务部分、技术部分、竞标报价（开标一览表）分别单独密封（称内包封）</w:t>
            </w:r>
            <w:r>
              <w:rPr>
                <w:rFonts w:hint="eastAsia" w:ascii="宋体" w:hAnsi="宋体" w:eastAsia="宋体" w:cs="宋体"/>
                <w:color w:val="auto"/>
                <w:szCs w:val="21"/>
                <w:highlight w:val="none"/>
              </w:rPr>
              <w:t>,竞标文件正本一份、副本五份，U盘电子档；正副本骑缝部分均为鲜章。</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所有要求盖章的地方都应加盖竞标人单位（法定名称）章（鲜章），不得使用专用印章（如经济合同章、竞标专用章等）或下属单位印章代替，法定代表人、委托授权人签字处，应由法定代表人、委托授权人本人签字或加盖经公安局备案的私人印章。</w:t>
            </w:r>
          </w:p>
        </w:tc>
      </w:tr>
      <w:tr>
        <w:tblPrEx>
          <w:tblCellMar>
            <w:top w:w="0" w:type="dxa"/>
            <w:left w:w="108" w:type="dxa"/>
            <w:bottom w:w="0" w:type="dxa"/>
            <w:right w:w="108" w:type="dxa"/>
          </w:tblCellMar>
        </w:tblPrEx>
        <w:trPr>
          <w:trHeight w:val="61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12</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竞标保证金缴纳</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 ¥</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0,000元（</w:t>
            </w:r>
            <w:r>
              <w:rPr>
                <w:rFonts w:hint="eastAsia" w:ascii="宋体" w:hAnsi="宋体" w:eastAsia="宋体" w:cs="宋体"/>
                <w:color w:val="auto"/>
                <w:sz w:val="20"/>
                <w:szCs w:val="20"/>
                <w:highlight w:val="none"/>
                <w:lang w:val="en-US" w:eastAsia="zh-CN"/>
              </w:rPr>
              <w:t>壹</w:t>
            </w:r>
            <w:r>
              <w:rPr>
                <w:rFonts w:hint="eastAsia" w:ascii="宋体" w:hAnsi="宋体" w:eastAsia="宋体" w:cs="宋体"/>
                <w:color w:val="auto"/>
                <w:sz w:val="20"/>
                <w:szCs w:val="20"/>
                <w:highlight w:val="none"/>
              </w:rPr>
              <w:t>万元整）</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竞标保证金递交方式：电汇或银行转账（备注投标保证金+投标项目名称）</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1.国内账户信息：</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1.1户名：眉山琏升光伏科技有限公司</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账号：22412701040015245</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开户银行：中国农业银行股份有限公司丹棱支行 </w:t>
            </w:r>
          </w:p>
          <w:p>
            <w:pPr>
              <w:snapToGrid w:val="0"/>
              <w:spacing w:line="360" w:lineRule="auto"/>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缴纳截止时间：</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年0</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日1</w:t>
            </w:r>
            <w:r>
              <w:rPr>
                <w:rFonts w:hint="eastAsia" w:ascii="宋体" w:hAnsi="宋体" w:eastAsia="宋体" w:cs="宋体"/>
                <w:color w:val="auto"/>
                <w:highlight w:val="none"/>
                <w:lang w:val="en-US" w:eastAsia="zh-CN"/>
              </w:rPr>
              <w:t>7：00</w:t>
            </w:r>
            <w:r>
              <w:rPr>
                <w:rFonts w:hint="eastAsia" w:ascii="宋体" w:hAnsi="宋体" w:eastAsia="宋体" w:cs="宋体"/>
                <w:color w:val="auto"/>
                <w:sz w:val="20"/>
                <w:szCs w:val="20"/>
                <w:highlight w:val="none"/>
              </w:rPr>
              <w:t>（北京时间）</w:t>
            </w:r>
          </w:p>
          <w:p>
            <w:pPr>
              <w:snapToGrid w:val="0"/>
              <w:spacing w:line="360" w:lineRule="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联系人:</w:t>
            </w:r>
            <w:r>
              <w:rPr>
                <w:rFonts w:hint="eastAsia" w:ascii="宋体" w:hAnsi="宋体" w:eastAsia="宋体" w:cs="宋体"/>
                <w:color w:val="auto"/>
                <w:sz w:val="20"/>
                <w:szCs w:val="20"/>
                <w:highlight w:val="none"/>
                <w:lang w:val="en-US" w:eastAsia="zh-CN"/>
              </w:rPr>
              <w:t>邱伟</w:t>
            </w:r>
            <w:r>
              <w:rPr>
                <w:rFonts w:hint="eastAsia" w:ascii="宋体" w:hAnsi="宋体" w:eastAsia="宋体" w:cs="宋体"/>
                <w:color w:val="auto"/>
                <w:sz w:val="20"/>
                <w:szCs w:val="20"/>
                <w:highlight w:val="none"/>
              </w:rPr>
              <w:t xml:space="preserve">   电话号码:</w:t>
            </w:r>
            <w:r>
              <w:rPr>
                <w:rFonts w:hint="eastAsia" w:ascii="宋体" w:hAnsi="宋体" w:eastAsia="宋体" w:cs="宋体"/>
                <w:color w:val="auto"/>
                <w:sz w:val="20"/>
                <w:szCs w:val="20"/>
                <w:highlight w:val="none"/>
                <w:lang w:val="en-US" w:eastAsia="zh-CN"/>
              </w:rPr>
              <w:t>18380448482</w:t>
            </w:r>
          </w:p>
        </w:tc>
      </w:tr>
      <w:tr>
        <w:tblPrEx>
          <w:tblCellMar>
            <w:top w:w="0" w:type="dxa"/>
            <w:left w:w="108" w:type="dxa"/>
            <w:bottom w:w="0" w:type="dxa"/>
            <w:right w:w="108" w:type="dxa"/>
          </w:tblCellMar>
        </w:tblPrEx>
        <w:trPr>
          <w:trHeight w:val="983"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竞标保证金退还</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eastAsiaTheme="minorEastAsia"/>
                <w:color w:val="auto"/>
                <w:highlight w:val="none"/>
                <w:lang w:eastAsia="zh-CN"/>
              </w:rPr>
            </w:pPr>
            <w:r>
              <w:rPr>
                <w:rFonts w:hint="eastAsia"/>
                <w:color w:val="auto"/>
                <w:highlight w:val="none"/>
              </w:rPr>
              <w:t>竞标保证金将于中标通知书发出之日起10个工作日内以电汇方式无息退还未中标单位；中标单位的竞标保证金转为履约保证金。</w:t>
            </w:r>
          </w:p>
          <w:p>
            <w:pPr>
              <w:snapToGrid w:val="0"/>
              <w:spacing w:line="360" w:lineRule="auto"/>
              <w:rPr>
                <w:rFonts w:hint="eastAsia" w:eastAsiaTheme="minorEastAsia"/>
                <w:color w:val="auto"/>
                <w:highlight w:val="none"/>
                <w:lang w:eastAsia="zh-CN"/>
              </w:rPr>
            </w:pPr>
            <w:r>
              <w:rPr>
                <w:rFonts w:hint="eastAsia"/>
                <w:color w:val="auto"/>
                <w:highlight w:val="none"/>
              </w:rPr>
              <w:t>出现以下情形不予以退还：</w:t>
            </w:r>
          </w:p>
          <w:p>
            <w:pPr>
              <w:snapToGrid w:val="0"/>
              <w:spacing w:line="360" w:lineRule="auto"/>
              <w:rPr>
                <w:rFonts w:hint="eastAsia" w:eastAsiaTheme="minorEastAsia"/>
                <w:color w:val="auto"/>
                <w:highlight w:val="none"/>
                <w:lang w:eastAsia="zh-CN"/>
              </w:rPr>
            </w:pPr>
            <w:r>
              <w:rPr>
                <w:rFonts w:hint="eastAsia"/>
                <w:color w:val="auto"/>
                <w:highlight w:val="none"/>
              </w:rPr>
              <w:t>1.竞标人无正当理由、未以书面形式向招标人递交说明而在竞标截止日不来竞标或未按竞标文件规定的方式递交投标资料或参加评标的；</w:t>
            </w:r>
          </w:p>
          <w:p>
            <w:pPr>
              <w:snapToGrid w:val="0"/>
              <w:spacing w:line="360" w:lineRule="auto"/>
              <w:rPr>
                <w:rFonts w:hint="eastAsia" w:eastAsiaTheme="minorEastAsia"/>
                <w:color w:val="auto"/>
                <w:highlight w:val="none"/>
                <w:lang w:eastAsia="zh-CN"/>
              </w:rPr>
            </w:pPr>
            <w:r>
              <w:rPr>
                <w:rFonts w:hint="eastAsia"/>
                <w:color w:val="auto"/>
                <w:highlight w:val="none"/>
              </w:rPr>
              <w:t>2.竞标人递送竞标文件后，无正当理由放弃竞标的；</w:t>
            </w:r>
          </w:p>
          <w:p>
            <w:pPr>
              <w:snapToGrid w:val="0"/>
              <w:spacing w:line="360" w:lineRule="auto"/>
              <w:rPr>
                <w:rFonts w:hint="eastAsia" w:eastAsiaTheme="minorEastAsia"/>
                <w:color w:val="auto"/>
                <w:highlight w:val="none"/>
                <w:lang w:eastAsia="zh-CN"/>
              </w:rPr>
            </w:pPr>
            <w:r>
              <w:rPr>
                <w:rFonts w:hint="eastAsia"/>
                <w:color w:val="auto"/>
                <w:highlight w:val="none"/>
              </w:rPr>
              <w:t>3.自中标通知书发出之日起15日内，中标人无正当理由不与招标人签订合同或提附加条件的；</w:t>
            </w:r>
          </w:p>
          <w:p>
            <w:pPr>
              <w:snapToGrid w:val="0"/>
              <w:spacing w:line="360" w:lineRule="auto"/>
              <w:rPr>
                <w:rFonts w:hint="eastAsia" w:eastAsiaTheme="minorEastAsia"/>
                <w:color w:val="auto"/>
                <w:highlight w:val="none"/>
                <w:lang w:eastAsia="zh-CN"/>
              </w:rPr>
            </w:pPr>
            <w:r>
              <w:rPr>
                <w:rFonts w:hint="eastAsia"/>
                <w:color w:val="auto"/>
                <w:highlight w:val="none"/>
              </w:rPr>
              <w:t>4.竞标人在竞标过程中被查证有串标、围标、陪标等违法违纪行为的；</w:t>
            </w:r>
          </w:p>
          <w:p>
            <w:pPr>
              <w:snapToGrid w:val="0"/>
              <w:spacing w:line="360" w:lineRule="auto"/>
              <w:rPr>
                <w:rFonts w:hint="eastAsia" w:eastAsiaTheme="minorEastAsia"/>
                <w:color w:val="auto"/>
                <w:highlight w:val="none"/>
                <w:lang w:eastAsia="zh-CN"/>
              </w:rPr>
            </w:pPr>
            <w:r>
              <w:rPr>
                <w:rFonts w:hint="eastAsia"/>
                <w:color w:val="auto"/>
                <w:highlight w:val="none"/>
              </w:rPr>
              <w:t>5.竞标人有违约违规行为或被投诉、举报的，在调查处理期间，保证金暂不退还，待调查处理结束后按有关规定处理。</w:t>
            </w:r>
          </w:p>
          <w:p>
            <w:pPr>
              <w:snapToGrid w:val="0"/>
              <w:spacing w:line="360" w:lineRule="auto"/>
              <w:rPr>
                <w:rFonts w:hint="eastAsia"/>
                <w:color w:val="auto"/>
                <w:highlight w:val="none"/>
              </w:rPr>
            </w:pPr>
            <w:r>
              <w:rPr>
                <w:rFonts w:hint="eastAsia"/>
                <w:color w:val="auto"/>
                <w:highlight w:val="none"/>
              </w:rPr>
              <w:t>6.竞标单位中标后未经招标人书面同意，竞标单位对中标内容做实质性变更的。</w:t>
            </w:r>
          </w:p>
          <w:p>
            <w:pPr>
              <w:snapToGrid w:val="0"/>
              <w:spacing w:line="360" w:lineRule="auto"/>
              <w:rPr>
                <w:color w:val="auto"/>
                <w:highlight w:val="none"/>
              </w:rPr>
            </w:pPr>
            <w:r>
              <w:rPr>
                <w:rFonts w:hint="eastAsia" w:ascii="宋体" w:hAnsi="宋体" w:eastAsia="宋体" w:cs="宋体"/>
                <w:color w:val="auto"/>
                <w:szCs w:val="21"/>
                <w:highlight w:val="none"/>
              </w:rPr>
              <w:t>7.竞标单位提供的投标文件或投标内容弄虚做假，包括但不限于加盖私刻印章、伪造法人签字、投标内容虚假等的。</w:t>
            </w:r>
          </w:p>
        </w:tc>
      </w:tr>
      <w:tr>
        <w:tblPrEx>
          <w:tblCellMar>
            <w:top w:w="0" w:type="dxa"/>
            <w:left w:w="108" w:type="dxa"/>
            <w:bottom w:w="0" w:type="dxa"/>
            <w:right w:w="108" w:type="dxa"/>
          </w:tblCellMar>
        </w:tblPrEx>
        <w:trPr>
          <w:trHeight w:val="2147"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14</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履约保证措施</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为保证合同正常履约，竞标人应提供必要的保障措施（保障措施可采用履约保证金或保函方式，具体金额及方式由招标方决定或现场谈判为准）。</w:t>
            </w:r>
          </w:p>
          <w:p>
            <w:pPr>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1.竞标保证金直接转为履约保证金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合同履行过程中履约保证被扣除的，中标供应商应于扣除后3日内补足</w:t>
            </w:r>
            <w:r>
              <w:rPr>
                <w:rFonts w:hint="eastAsia" w:ascii="宋体" w:hAnsi="宋体" w:eastAsia="宋体" w:cs="宋体"/>
                <w:color w:val="auto"/>
                <w:szCs w:val="21"/>
                <w:highlight w:val="none"/>
              </w:rPr>
              <w:t>；</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2.履约保证金退还时间为</w:t>
            </w:r>
            <w:r>
              <w:rPr>
                <w:rFonts w:hint="eastAsia" w:ascii="宋体" w:hAnsi="宋体" w:eastAsia="宋体" w:cs="宋体"/>
                <w:color w:val="auto"/>
                <w:szCs w:val="21"/>
                <w:highlight w:val="none"/>
                <w:lang w:val="en-US" w:eastAsia="zh-CN"/>
              </w:rPr>
              <w:t>采购协议履行完毕且全部商品质保期满后</w:t>
            </w: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rPr>
          <w:trHeight w:val="1140"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15</w:t>
            </w:r>
          </w:p>
        </w:tc>
        <w:tc>
          <w:tcPr>
            <w:tcW w:w="1276" w:type="dxa"/>
            <w:tcBorders>
              <w:top w:val="nil"/>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知识产权保障</w:t>
            </w:r>
          </w:p>
        </w:tc>
        <w:tc>
          <w:tcPr>
            <w:tcW w:w="7796" w:type="dxa"/>
            <w:tcBorders>
              <w:top w:val="nil"/>
              <w:left w:val="nil"/>
              <w:bottom w:val="single" w:color="auto" w:sz="4" w:space="0"/>
              <w:right w:val="single" w:color="auto" w:sz="4" w:space="0"/>
            </w:tcBorders>
            <w:shd w:val="clear" w:color="auto" w:fill="auto"/>
            <w:vAlign w:val="center"/>
          </w:tcPr>
          <w:p>
            <w:pPr>
              <w:snapToGrid w:val="0"/>
              <w:spacing w:line="360" w:lineRule="auto"/>
              <w:rPr>
                <w:color w:val="auto"/>
                <w:highlight w:val="none"/>
              </w:rPr>
            </w:pPr>
            <w:r>
              <w:rPr>
                <w:rFonts w:hint="eastAsia"/>
                <w:color w:val="auto"/>
                <w:highlight w:val="none"/>
              </w:rPr>
              <w:t>竞标方向招标方提供的</w:t>
            </w:r>
            <w:r>
              <w:rPr>
                <w:rFonts w:hint="eastAsia"/>
                <w:color w:val="auto"/>
                <w:highlight w:val="none"/>
                <w:lang w:val="en-US" w:eastAsia="zh-CN"/>
              </w:rPr>
              <w:t>产品或服务</w:t>
            </w:r>
            <w:r>
              <w:rPr>
                <w:rFonts w:hint="eastAsia"/>
                <w:color w:val="auto"/>
                <w:highlight w:val="none"/>
              </w:rPr>
              <w:t>在全球范围内没有侵害任何第三方的知识产权（包括但不限于专利、商标、版权或其他知识产权）。如果竞标方提供的</w:t>
            </w:r>
            <w:r>
              <w:rPr>
                <w:rFonts w:hint="eastAsia"/>
                <w:color w:val="auto"/>
                <w:highlight w:val="none"/>
                <w:lang w:val="en-US" w:eastAsia="zh-CN"/>
              </w:rPr>
              <w:t>产品或服务</w:t>
            </w:r>
            <w:r>
              <w:rPr>
                <w:rFonts w:hint="eastAsia"/>
                <w:color w:val="auto"/>
                <w:highlight w:val="none"/>
              </w:rPr>
              <w:t>由于竞标方存在侵权行为，其带来的所有法律责任及经济损失，由竞标方负责。</w:t>
            </w:r>
          </w:p>
          <w:p>
            <w:pPr>
              <w:snapToGrid w:val="0"/>
              <w:spacing w:line="360" w:lineRule="auto"/>
              <w:rPr>
                <w:color w:val="auto"/>
                <w:highlight w:val="none"/>
              </w:rPr>
            </w:pPr>
            <w:r>
              <w:rPr>
                <w:rFonts w:hint="eastAsia"/>
                <w:color w:val="auto"/>
                <w:highlight w:val="none"/>
              </w:rPr>
              <w:t>竞标方制作投标文件时尚未知悉但在后续参与招标活动期间知悉其标的物存在或可能存在知识产权瑕疵及纠纷，尤其是与同时参与投标的其他竞标方产生或可能产生知识产权等权利纠纷的，竞标方应毫不迟疑地书面告知招标人。若竞标方系权利人，但在评标结束前未书面告知招标人其被侵权或可能被侵权的，视为竞标方放弃其相关权利。招标人若因此采购了侵犯竞标方知识产权的标的物的，视为竞标方同意允许招标人可自由占有、使用、收益及处分。若竞标方知悉或应当知悉其标的物侵犯他人知识产权等权利却不在评标前告知招标人的，由此造成的一切损失和责任由竞标方承担。</w:t>
            </w:r>
          </w:p>
        </w:tc>
      </w:tr>
      <w:tr>
        <w:tblPrEx>
          <w:tblCellMar>
            <w:top w:w="0" w:type="dxa"/>
            <w:left w:w="108" w:type="dxa"/>
            <w:bottom w:w="0" w:type="dxa"/>
            <w:right w:w="108" w:type="dxa"/>
          </w:tblCellMar>
        </w:tblPrEx>
        <w:trPr>
          <w:trHeight w:val="11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27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796" w:type="dxa"/>
            <w:tcBorders>
              <w:top w:val="single" w:color="auto" w:sz="4" w:space="0"/>
              <w:left w:val="nil"/>
              <w:bottom w:val="single" w:color="auto" w:sz="4" w:space="0"/>
              <w:right w:val="single" w:color="auto" w:sz="4" w:space="0"/>
            </w:tcBorders>
            <w:shd w:val="clear" w:color="auto" w:fill="auto"/>
            <w:vAlign w:val="center"/>
          </w:tcPr>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特别说明：</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1、本招标须知表中内容与招标文件其他地方不一致或相矛盾时，以本须知表为准。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当补遗文件或澄清说明文件与招标文件对应内容不一致时，以最新的文件为准。3、竞争性谈判文件中的实质性要求和条件及招标文件带*号条款不允许负偏差。出现负偏差的视为重大偏差，评标委员会在评审时有权作否决投标处理。</w:t>
            </w:r>
          </w:p>
          <w:p>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4、投标文件对招标文件的全部偏差，均应在投标文件的商务和技术偏离表中列明，除列明内容外，视为竞标人全部响应竞争性谈判文件的全部要求。</w:t>
            </w:r>
          </w:p>
        </w:tc>
      </w:tr>
    </w:tbl>
    <w:p>
      <w:pPr>
        <w:pStyle w:val="30"/>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2、竞标资格</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2.1竞标人必须是具有合法资格、独立法人资格的单位（经总公司授权后的分公司也可作为投标主体进行投标），具有独立签订合同的权利；</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2.2竞标人在本标的项目上有专业技术、设备设施、人员组织、业绩和经验等方面具有设计、制造、质量控制、经营管理的相应资格和能力；</w:t>
      </w:r>
    </w:p>
    <w:p>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2.3竞标人应具有良好的商业信誉；</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2.4遵守国家法律、法规，具有良好的信誉和商业道德，没有行贿受贿、走私、偷税漏税、重大安全事故及欺诈等违法犯罪或违规违纪行为；</w:t>
      </w:r>
    </w:p>
    <w:p>
      <w:pPr>
        <w:pStyle w:val="29"/>
        <w:snapToGrid w:val="0"/>
        <w:ind w:firstLine="0" w:firstLineChars="0"/>
        <w:outlineLvl w:val="1"/>
        <w:rPr>
          <w:rFonts w:hint="eastAsia" w:ascii="宋体" w:hAnsi="宋体" w:cs="宋体"/>
          <w:color w:val="auto"/>
          <w:highlight w:val="none"/>
        </w:rPr>
      </w:pPr>
      <w:r>
        <w:rPr>
          <w:rFonts w:hint="eastAsia" w:ascii="宋体" w:hAnsi="宋体" w:cs="宋体"/>
          <w:color w:val="auto"/>
          <w:highlight w:val="none"/>
        </w:rPr>
        <w:t>2.5具有履行合同的能力和良好的履行合同记录；</w:t>
      </w:r>
    </w:p>
    <w:p>
      <w:pPr>
        <w:pStyle w:val="29"/>
        <w:snapToGrid w:val="0"/>
        <w:ind w:firstLine="0" w:firstLineChars="0"/>
        <w:outlineLvl w:val="1"/>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2.6根据国家相关法律法规须具备资质或取得许可方可执行的，还应具备合法有效的资质或许可文件；</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2.6不得有串标、虚假陈述、伪造变造文件等欺诈行为，否则取消竞标资格。</w:t>
      </w:r>
    </w:p>
    <w:p>
      <w:pPr>
        <w:pStyle w:val="30"/>
        <w:numPr>
          <w:ilvl w:val="0"/>
          <w:numId w:val="2"/>
        </w:numPr>
        <w:snapToGrid w:val="0"/>
        <w:ind w:firstLineChars="0"/>
        <w:outlineLvl w:val="2"/>
        <w:rPr>
          <w:rFonts w:ascii="宋体" w:hAnsi="宋体" w:cs="宋体"/>
          <w:color w:val="auto"/>
          <w:highlight w:val="none"/>
        </w:rPr>
      </w:pPr>
      <w:r>
        <w:rPr>
          <w:rFonts w:hint="eastAsia" w:ascii="宋体" w:hAnsi="宋体" w:cs="宋体"/>
          <w:color w:val="auto"/>
          <w:highlight w:val="none"/>
        </w:rPr>
        <w:t>竞标文件的组成</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竞标文件应由三部分组成。具体内容如下：第一部分：商务部分；第二部分：技术部分；第三部分：竞标报价（开标一览表）。竞标人所作的一切有效补充、修改文件，均被视为竞标文件不可分割的部分。</w:t>
      </w:r>
    </w:p>
    <w:p>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3.1商务部分</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3.1.1竞标书（提供原件，格式见招标文件</w:t>
      </w:r>
      <w:r>
        <w:rPr>
          <w:rFonts w:hint="eastAsia" w:ascii="宋体" w:hAnsi="宋体" w:cs="宋体"/>
          <w:b/>
          <w:color w:val="auto"/>
          <w:highlight w:val="none"/>
        </w:rPr>
        <w:t>附件1</w:t>
      </w:r>
      <w:r>
        <w:rPr>
          <w:rFonts w:hint="eastAsia" w:ascii="宋体" w:hAnsi="宋体" w:cs="宋体"/>
          <w:color w:val="auto"/>
          <w:highlight w:val="none"/>
        </w:rPr>
        <w:t>）</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3.1.2竞标人资格证明（至少包含以下证明材料）：</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1）竞标人关于资格的声明函（提供原件，格式见招标文件</w:t>
      </w:r>
      <w:r>
        <w:rPr>
          <w:rFonts w:hint="eastAsia" w:ascii="宋体" w:hAnsi="宋体" w:cs="宋体"/>
          <w:b/>
          <w:color w:val="auto"/>
          <w:highlight w:val="none"/>
        </w:rPr>
        <w:t>附件2</w:t>
      </w:r>
      <w:r>
        <w:rPr>
          <w:rFonts w:hint="eastAsia" w:ascii="宋体" w:hAnsi="宋体" w:cs="宋体"/>
          <w:color w:val="auto"/>
          <w:highlight w:val="none"/>
        </w:rPr>
        <w:t>）；</w:t>
      </w:r>
    </w:p>
    <w:p>
      <w:pPr>
        <w:pStyle w:val="29"/>
        <w:numPr>
          <w:ilvl w:val="0"/>
          <w:numId w:val="3"/>
        </w:numPr>
        <w:snapToGrid w:val="0"/>
        <w:ind w:firstLineChars="0"/>
        <w:rPr>
          <w:rFonts w:ascii="宋体" w:hAnsi="宋体" w:cs="宋体"/>
          <w:color w:val="auto"/>
          <w:highlight w:val="none"/>
        </w:rPr>
      </w:pPr>
      <w:r>
        <w:rPr>
          <w:rFonts w:hint="eastAsia" w:ascii="宋体" w:hAnsi="宋体" w:cs="宋体"/>
          <w:color w:val="auto"/>
          <w:highlight w:val="none"/>
        </w:rPr>
        <w:t>竞标人法定代表人授权委托书（提供原件，格式见招标文件</w:t>
      </w:r>
      <w:r>
        <w:rPr>
          <w:rFonts w:hint="eastAsia" w:ascii="宋体" w:hAnsi="宋体" w:cs="宋体"/>
          <w:b/>
          <w:color w:val="auto"/>
          <w:highlight w:val="none"/>
        </w:rPr>
        <w:t>附件3</w:t>
      </w:r>
      <w:r>
        <w:rPr>
          <w:rFonts w:hint="eastAsia" w:ascii="宋体" w:hAnsi="宋体" w:cs="宋体"/>
          <w:color w:val="auto"/>
          <w:highlight w:val="none"/>
        </w:rPr>
        <w:t>）；</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3）竞标人承诺函（提供原件，格式见招标文件</w:t>
      </w:r>
      <w:r>
        <w:rPr>
          <w:rFonts w:hint="eastAsia" w:ascii="宋体" w:hAnsi="宋体" w:cs="宋体"/>
          <w:b/>
          <w:color w:val="auto"/>
          <w:highlight w:val="none"/>
        </w:rPr>
        <w:t>附件4</w:t>
      </w:r>
      <w:r>
        <w:rPr>
          <w:rFonts w:hint="eastAsia" w:ascii="宋体" w:hAnsi="宋体" w:cs="宋体"/>
          <w:color w:val="auto"/>
          <w:highlight w:val="none"/>
        </w:rPr>
        <w:t>）；</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4）三证合一营业执照、资质证书的复印件并加盖公章，法定代表人身份证明（附上身份证复印件）并加盖公章；</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5）诚信合作与公平竞争协议（提供原件并加盖公章，格式见招标文件</w:t>
      </w:r>
      <w:r>
        <w:rPr>
          <w:rFonts w:hint="eastAsia" w:ascii="宋体" w:hAnsi="宋体" w:cs="宋体"/>
          <w:b/>
          <w:color w:val="auto"/>
          <w:highlight w:val="none"/>
        </w:rPr>
        <w:t>附件6</w:t>
      </w:r>
      <w:r>
        <w:rPr>
          <w:rFonts w:hint="eastAsia" w:ascii="宋体" w:hAnsi="宋体" w:cs="宋体"/>
          <w:color w:val="auto"/>
          <w:highlight w:val="none"/>
        </w:rPr>
        <w:t>）；</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6）诚信报价承诺书（提供原件并加盖公章，格式见招标文件附件10）。</w:t>
      </w:r>
    </w:p>
    <w:p>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3.1.3竞标人资信证明：</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1）质量管理体系认证证书；</w:t>
      </w:r>
    </w:p>
    <w:p>
      <w:pPr>
        <w:pStyle w:val="29"/>
        <w:numPr>
          <w:ilvl w:val="0"/>
          <w:numId w:val="4"/>
        </w:numPr>
        <w:snapToGrid w:val="0"/>
        <w:ind w:firstLineChars="0"/>
        <w:rPr>
          <w:rFonts w:ascii="宋体" w:hAnsi="宋体" w:cs="宋体"/>
          <w:color w:val="auto"/>
          <w:highlight w:val="none"/>
        </w:rPr>
      </w:pPr>
      <w:r>
        <w:rPr>
          <w:rFonts w:hint="eastAsia" w:ascii="宋体" w:hAnsi="宋体" w:cs="宋体"/>
          <w:color w:val="auto"/>
          <w:highlight w:val="none"/>
        </w:rPr>
        <w:t>资信等级证书；</w:t>
      </w:r>
    </w:p>
    <w:p>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3）企业财务状况，包含：近三年资产负债表、利润及利润分配表和现金流量表等会计报表以及有审计机构出具的审计报告，并加盖公章；</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4）最近一期工商年检报告（竞标人自选是否提供）；</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生产许可证及</w:t>
      </w:r>
      <w:r>
        <w:rPr>
          <w:rFonts w:hint="eastAsia" w:ascii="宋体" w:hAnsi="宋体" w:cs="宋体"/>
          <w:color w:val="auto"/>
          <w:highlight w:val="none"/>
        </w:rPr>
        <w:t>其他资质证明文件等。</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3.1.4企业简介（包括组织机构、股权结构、生产能力、设备、厂房、人员结构等）</w:t>
      </w:r>
    </w:p>
    <w:p>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3.1.5企业主要业绩</w:t>
      </w:r>
    </w:p>
    <w:p>
      <w:pPr>
        <w:pStyle w:val="29"/>
        <w:snapToGrid w:val="0"/>
        <w:ind w:firstLine="420" w:firstLineChars="0"/>
        <w:rPr>
          <w:rFonts w:ascii="宋体" w:hAnsi="宋体" w:cs="宋体"/>
          <w:color w:val="auto"/>
          <w:highlight w:val="none"/>
        </w:rPr>
      </w:pPr>
      <w:r>
        <w:rPr>
          <w:rFonts w:hint="eastAsia" w:ascii="宋体" w:hAnsi="宋体" w:cs="宋体"/>
          <w:color w:val="auto"/>
          <w:highlight w:val="none"/>
        </w:rPr>
        <w:t>1）近三年业绩及目前正在执行合同情况（包括完成情况和出现的重要质量问题及改进措施。必须提供至少一份能证明业绩的有效证明，如：合同、中标通知书或使用单位评价等）；</w:t>
      </w:r>
    </w:p>
    <w:p>
      <w:pPr>
        <w:pStyle w:val="29"/>
        <w:numPr>
          <w:ilvl w:val="0"/>
          <w:numId w:val="5"/>
        </w:numPr>
        <w:snapToGrid w:val="0"/>
        <w:ind w:firstLineChars="0"/>
        <w:rPr>
          <w:rFonts w:ascii="宋体" w:hAnsi="宋体" w:cs="宋体"/>
          <w:color w:val="auto"/>
          <w:highlight w:val="none"/>
        </w:rPr>
      </w:pPr>
      <w:r>
        <w:rPr>
          <w:rFonts w:hint="eastAsia" w:ascii="宋体" w:hAnsi="宋体" w:cs="宋体"/>
          <w:color w:val="auto"/>
          <w:highlight w:val="none"/>
        </w:rPr>
        <w:t>近三年企业或产品获省、部级及以上奖励情况（附证书复印件）；</w:t>
      </w:r>
    </w:p>
    <w:p>
      <w:pPr>
        <w:pStyle w:val="29"/>
        <w:snapToGrid w:val="0"/>
        <w:ind w:left="420" w:firstLine="0" w:firstLineChars="0"/>
        <w:rPr>
          <w:rFonts w:ascii="宋体" w:hAnsi="宋体" w:cs="宋体"/>
          <w:color w:val="auto"/>
          <w:highlight w:val="none"/>
        </w:rPr>
      </w:pPr>
      <w:r>
        <w:rPr>
          <w:rFonts w:hint="eastAsia" w:ascii="宋体" w:hAnsi="宋体" w:cs="宋体"/>
          <w:color w:val="auto"/>
          <w:highlight w:val="none"/>
        </w:rPr>
        <w:t>3）竞标人应提供能证明其符合竞标合格条件和具有履行合同能力的资格文件，所附资料、文件必须清晰、真实、有效。所提供的证明材料，竞标人认为涉及商业秘密的可予删除，否则招标人对此不负任何责任。</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3.1.5保密协议，竞标人填写首页竞标人信息及末页竞标人落款，一式二份，加盖骑缝章与落款章（单独打印、不装订，随商务部分交由招标方，格式见招标文件</w:t>
      </w:r>
      <w:r>
        <w:rPr>
          <w:rFonts w:hint="eastAsia" w:ascii="宋体" w:hAnsi="宋体" w:cs="宋体"/>
          <w:b/>
          <w:color w:val="auto"/>
          <w:highlight w:val="none"/>
        </w:rPr>
        <w:t>附件7</w:t>
      </w:r>
      <w:r>
        <w:rPr>
          <w:rFonts w:hint="eastAsia" w:ascii="宋体" w:hAnsi="宋体" w:cs="宋体"/>
          <w:color w:val="auto"/>
          <w:highlight w:val="none"/>
        </w:rPr>
        <w:t>）。</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3.1.6合同模板响应说明，如有偏离需详细写出偏离原因（列明条款编号及偏离内容），若未列明偏离内容的视为同意招标人的相应条款及合同附件。（格式自拟，合同模板见招标文件</w:t>
      </w:r>
      <w:r>
        <w:rPr>
          <w:rFonts w:hint="eastAsia" w:ascii="宋体" w:hAnsi="宋体" w:cs="宋体"/>
          <w:b/>
          <w:color w:val="auto"/>
          <w:highlight w:val="none"/>
        </w:rPr>
        <w:t>附件8</w:t>
      </w:r>
      <w:r>
        <w:rPr>
          <w:rFonts w:hint="eastAsia" w:ascii="宋体" w:hAnsi="宋体" w:cs="宋体"/>
          <w:color w:val="auto"/>
          <w:highlight w:val="none"/>
        </w:rPr>
        <w:t>）。</w:t>
      </w:r>
    </w:p>
    <w:p>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3.2技术部分</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内容的编制顺序和格式按以下要求填写。</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3.2.1技术条款差异表/偏离项清单；</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2</w:t>
      </w:r>
      <w:r>
        <w:rPr>
          <w:rFonts w:hint="eastAsia" w:ascii="宋体" w:hAnsi="宋体" w:cs="宋体"/>
          <w:color w:val="auto"/>
          <w:highlight w:val="none"/>
        </w:rPr>
        <w:t>技术要求/规范；</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3供应</w:t>
      </w:r>
      <w:r>
        <w:rPr>
          <w:rFonts w:hint="eastAsia" w:ascii="宋体" w:hAnsi="宋体" w:cs="宋体"/>
          <w:color w:val="auto"/>
          <w:highlight w:val="none"/>
        </w:rPr>
        <w:t>进度计划表；</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4</w:t>
      </w:r>
      <w:r>
        <w:rPr>
          <w:rFonts w:hint="eastAsia" w:ascii="宋体" w:hAnsi="宋体" w:cs="宋体"/>
          <w:color w:val="auto"/>
          <w:highlight w:val="none"/>
        </w:rPr>
        <w:t>人员培训；</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5</w:t>
      </w:r>
      <w:r>
        <w:rPr>
          <w:rFonts w:hint="eastAsia" w:ascii="宋体" w:hAnsi="宋体" w:cs="宋体"/>
          <w:color w:val="auto"/>
          <w:highlight w:val="none"/>
        </w:rPr>
        <w:t>技术服务（含售后服务）</w:t>
      </w:r>
      <w:r>
        <w:rPr>
          <w:rFonts w:hint="eastAsia" w:ascii="宋体" w:hAnsi="宋体" w:cs="宋体"/>
          <w:color w:val="auto"/>
          <w:highlight w:val="none"/>
          <w:lang w:val="en-US" w:eastAsia="zh-CN"/>
        </w:rPr>
        <w:t>具体详技术文件要求</w:t>
      </w:r>
      <w:r>
        <w:rPr>
          <w:rFonts w:hint="eastAsia" w:ascii="宋体" w:hAnsi="宋体" w:cs="宋体"/>
          <w:color w:val="auto"/>
          <w:highlight w:val="none"/>
        </w:rPr>
        <w:t>；</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3.2.</w:t>
      </w:r>
      <w:r>
        <w:rPr>
          <w:rFonts w:hint="eastAsia" w:ascii="宋体" w:hAnsi="宋体" w:cs="宋体"/>
          <w:color w:val="auto"/>
          <w:highlight w:val="none"/>
          <w:lang w:val="en-US" w:eastAsia="zh-CN"/>
        </w:rPr>
        <w:t>6</w:t>
      </w:r>
      <w:r>
        <w:rPr>
          <w:rFonts w:hint="eastAsia" w:ascii="宋体" w:hAnsi="宋体" w:cs="宋体"/>
          <w:color w:val="auto"/>
          <w:highlight w:val="none"/>
        </w:rPr>
        <w:t>项目交付和验收。</w:t>
      </w:r>
    </w:p>
    <w:p>
      <w:pPr>
        <w:pStyle w:val="29"/>
        <w:snapToGrid w:val="0"/>
        <w:ind w:firstLine="0" w:firstLineChars="0"/>
        <w:outlineLvl w:val="1"/>
        <w:rPr>
          <w:rFonts w:ascii="宋体" w:hAnsi="宋体" w:cs="宋体"/>
          <w:color w:val="auto"/>
          <w:highlight w:val="none"/>
        </w:rPr>
      </w:pPr>
      <w:r>
        <w:rPr>
          <w:rFonts w:hint="eastAsia" w:ascii="宋体" w:hAnsi="宋体" w:cs="宋体"/>
          <w:color w:val="auto"/>
          <w:highlight w:val="none"/>
        </w:rPr>
        <w:t>3.3竞标报价</w:t>
      </w:r>
    </w:p>
    <w:p>
      <w:pPr>
        <w:pStyle w:val="29"/>
        <w:snapToGrid w:val="0"/>
        <w:ind w:firstLine="0" w:firstLineChars="0"/>
        <w:rPr>
          <w:rFonts w:ascii="宋体" w:hAnsi="宋体" w:cs="宋体"/>
          <w:color w:val="auto"/>
          <w:highlight w:val="none"/>
        </w:rPr>
      </w:pPr>
      <w:r>
        <w:rPr>
          <w:rFonts w:hint="eastAsia" w:ascii="宋体" w:hAnsi="宋体" w:cs="宋体"/>
          <w:color w:val="auto"/>
          <w:highlight w:val="none"/>
        </w:rPr>
        <w:t>3.3.1开标一览表 （格式见招标文件</w:t>
      </w:r>
      <w:r>
        <w:rPr>
          <w:rFonts w:hint="eastAsia" w:ascii="宋体" w:hAnsi="宋体" w:cs="宋体"/>
          <w:b/>
          <w:color w:val="auto"/>
          <w:highlight w:val="none"/>
        </w:rPr>
        <w:t>附件5</w:t>
      </w:r>
      <w:r>
        <w:rPr>
          <w:rFonts w:hint="eastAsia" w:ascii="宋体" w:hAnsi="宋体" w:cs="宋体"/>
          <w:color w:val="auto"/>
          <w:highlight w:val="none"/>
        </w:rPr>
        <w:t>），需单独另行密封。</w:t>
      </w:r>
    </w:p>
    <w:p>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3.3.2分项报价清单。</w:t>
      </w:r>
    </w:p>
    <w:p>
      <w:pPr>
        <w:pStyle w:val="29"/>
        <w:snapToGrid w:val="0"/>
        <w:ind w:firstLine="0" w:firstLineChars="0"/>
        <w:outlineLvl w:val="2"/>
        <w:rPr>
          <w:rFonts w:ascii="宋体" w:hAnsi="宋体" w:cs="宋体"/>
          <w:color w:val="auto"/>
          <w:highlight w:val="none"/>
        </w:rPr>
      </w:pPr>
      <w:r>
        <w:rPr>
          <w:rFonts w:hint="eastAsia" w:ascii="宋体" w:hAnsi="宋体" w:cs="宋体"/>
          <w:color w:val="auto"/>
          <w:highlight w:val="none"/>
        </w:rPr>
        <w:t>3.4 如有优化建议，请单独说明优化方案，并对优化方案进行报价。</w:t>
      </w:r>
    </w:p>
    <w:p>
      <w:pPr>
        <w:pStyle w:val="29"/>
        <w:ind w:firstLine="0" w:firstLineChars="0"/>
        <w:outlineLvl w:val="3"/>
        <w:rPr>
          <w:rFonts w:ascii="宋体" w:hAnsi="宋体" w:cs="宋体"/>
          <w:b/>
          <w:color w:val="auto"/>
          <w:highlight w:val="none"/>
        </w:rPr>
      </w:pPr>
      <w:r>
        <w:rPr>
          <w:rFonts w:hint="eastAsia" w:ascii="宋体" w:hAnsi="宋体" w:cs="宋体"/>
          <w:b/>
          <w:color w:val="auto"/>
          <w:highlight w:val="none"/>
        </w:rPr>
        <w:t>4、发生下列情况之一的投标文件均视为无效：</w:t>
      </w:r>
    </w:p>
    <w:p>
      <w:pPr>
        <w:pStyle w:val="29"/>
        <w:ind w:firstLine="0" w:firstLineChars="0"/>
        <w:outlineLvl w:val="1"/>
        <w:rPr>
          <w:rFonts w:ascii="宋体" w:hAnsi="宋体" w:cs="宋体"/>
          <w:color w:val="auto"/>
          <w:highlight w:val="none"/>
        </w:rPr>
      </w:pPr>
      <w:r>
        <w:rPr>
          <w:rFonts w:hint="eastAsia" w:ascii="宋体" w:hAnsi="宋体" w:cs="宋体"/>
          <w:color w:val="auto"/>
          <w:highlight w:val="none"/>
        </w:rPr>
        <w:t>4.1未在截止时间以前按竞争性谈判文件要求送达投标文件或未按竞争性谈判文件规定的方式参加评标。</w:t>
      </w:r>
    </w:p>
    <w:p>
      <w:pPr>
        <w:pStyle w:val="29"/>
        <w:ind w:firstLine="0" w:firstLineChars="0"/>
        <w:rPr>
          <w:rFonts w:ascii="宋体" w:hAnsi="宋体" w:cs="宋体"/>
          <w:color w:val="auto"/>
          <w:highlight w:val="none"/>
        </w:rPr>
      </w:pPr>
      <w:r>
        <w:rPr>
          <w:rFonts w:hint="eastAsia" w:ascii="宋体" w:hAnsi="宋体" w:cs="宋体"/>
          <w:color w:val="auto"/>
          <w:highlight w:val="none"/>
        </w:rPr>
        <w:t>4.2投标书应盖而未盖公章、未装订、未密封、未有效授权、资质不符等。</w:t>
      </w:r>
    </w:p>
    <w:p>
      <w:pPr>
        <w:pStyle w:val="29"/>
        <w:ind w:firstLine="0" w:firstLineChars="0"/>
        <w:rPr>
          <w:rFonts w:ascii="宋体" w:hAnsi="宋体" w:cs="宋体"/>
          <w:color w:val="auto"/>
          <w:highlight w:val="none"/>
        </w:rPr>
      </w:pPr>
      <w:r>
        <w:rPr>
          <w:rFonts w:hint="eastAsia" w:ascii="宋体" w:hAnsi="宋体" w:cs="宋体"/>
          <w:color w:val="auto"/>
          <w:highlight w:val="none"/>
        </w:rPr>
        <w:t>4.3投标人以他人名义投标、串标、以行贿手段谋取中标或者以其他弄虚作假方式投标的。下列行为属于串标：</w:t>
      </w:r>
    </w:p>
    <w:p>
      <w:pPr>
        <w:pStyle w:val="29"/>
        <w:ind w:firstLine="0" w:firstLineChars="0"/>
        <w:outlineLvl w:val="2"/>
        <w:rPr>
          <w:rFonts w:ascii="宋体" w:hAnsi="宋体" w:cs="宋体"/>
          <w:color w:val="auto"/>
          <w:highlight w:val="none"/>
        </w:rPr>
      </w:pPr>
      <w:r>
        <w:rPr>
          <w:rFonts w:hint="eastAsia" w:ascii="宋体" w:hAnsi="宋体" w:cs="宋体"/>
          <w:color w:val="auto"/>
          <w:highlight w:val="none"/>
        </w:rPr>
        <w:t>4.3.1投标人之间相互约定抬高或压低投标报价；</w:t>
      </w:r>
    </w:p>
    <w:p>
      <w:pPr>
        <w:pStyle w:val="29"/>
        <w:ind w:firstLine="0" w:firstLineChars="0"/>
        <w:rPr>
          <w:rFonts w:ascii="宋体" w:hAnsi="宋体" w:cs="宋体"/>
          <w:color w:val="auto"/>
          <w:highlight w:val="none"/>
        </w:rPr>
      </w:pPr>
      <w:r>
        <w:rPr>
          <w:rFonts w:hint="eastAsia" w:ascii="宋体" w:hAnsi="宋体" w:cs="宋体"/>
          <w:color w:val="auto"/>
          <w:highlight w:val="none"/>
        </w:rPr>
        <w:t>4.3.2投标人之间相互约定，在招标项目中分别以高、中、低价位报价；</w:t>
      </w:r>
    </w:p>
    <w:p>
      <w:pPr>
        <w:pStyle w:val="29"/>
        <w:ind w:firstLine="0" w:firstLineChars="0"/>
        <w:rPr>
          <w:rFonts w:ascii="宋体" w:hAnsi="宋体" w:cs="宋体"/>
          <w:color w:val="auto"/>
          <w:highlight w:val="none"/>
        </w:rPr>
      </w:pPr>
      <w:r>
        <w:rPr>
          <w:rFonts w:hint="eastAsia" w:ascii="宋体" w:hAnsi="宋体" w:cs="宋体"/>
          <w:color w:val="auto"/>
          <w:highlight w:val="none"/>
        </w:rPr>
        <w:t>4.3.3投标人之间先进行内部竞价，内定中标人，然后再参加投标；</w:t>
      </w:r>
    </w:p>
    <w:p>
      <w:pPr>
        <w:pStyle w:val="29"/>
        <w:ind w:firstLine="0" w:firstLineChars="0"/>
        <w:rPr>
          <w:rFonts w:ascii="宋体" w:hAnsi="宋体" w:cs="宋体"/>
          <w:color w:val="auto"/>
          <w:highlight w:val="none"/>
        </w:rPr>
      </w:pPr>
      <w:r>
        <w:rPr>
          <w:rFonts w:hint="eastAsia" w:ascii="宋体" w:hAnsi="宋体" w:cs="宋体"/>
          <w:color w:val="auto"/>
          <w:highlight w:val="none"/>
        </w:rPr>
        <w:t>4.3.4与本标项其他投标人的投标文件全部或部分均由同一个单位或者同一个人编制的；</w:t>
      </w:r>
    </w:p>
    <w:p>
      <w:pPr>
        <w:pStyle w:val="29"/>
        <w:ind w:firstLine="0" w:firstLineChars="0"/>
        <w:outlineLvl w:val="2"/>
        <w:rPr>
          <w:rFonts w:ascii="宋体" w:hAnsi="宋体" w:cs="宋体"/>
          <w:color w:val="auto"/>
          <w:highlight w:val="none"/>
        </w:rPr>
      </w:pPr>
      <w:r>
        <w:rPr>
          <w:rFonts w:hint="eastAsia" w:ascii="宋体" w:hAnsi="宋体" w:cs="宋体"/>
          <w:color w:val="auto"/>
          <w:highlight w:val="none"/>
        </w:rPr>
        <w:t>4.3.5投标人之间其他串通投标报价的行为。</w:t>
      </w:r>
    </w:p>
    <w:p>
      <w:pPr>
        <w:pStyle w:val="29"/>
        <w:ind w:firstLine="0" w:firstLineChars="0"/>
        <w:rPr>
          <w:rFonts w:hint="eastAsia" w:ascii="宋体" w:hAnsi="宋体" w:cs="宋体"/>
          <w:color w:val="auto"/>
          <w:highlight w:val="none"/>
        </w:rPr>
      </w:pPr>
      <w:r>
        <w:rPr>
          <w:rFonts w:hint="eastAsia" w:ascii="宋体" w:hAnsi="宋体" w:cs="宋体"/>
          <w:color w:val="auto"/>
          <w:highlight w:val="none"/>
        </w:rPr>
        <w:t>4.4投标人提供的投标文件或投标内容弄虚做假，包括但不限于加盖私刻印章、伪造法人签字、投标内容虚假等的。</w:t>
      </w:r>
    </w:p>
    <w:p>
      <w:pPr>
        <w:pStyle w:val="29"/>
        <w:ind w:firstLine="0" w:firstLineChars="0"/>
        <w:rPr>
          <w:rFonts w:ascii="宋体" w:hAnsi="宋体" w:cs="宋体"/>
          <w:color w:val="auto"/>
          <w:highlight w:val="none"/>
        </w:rPr>
      </w:pPr>
      <w:r>
        <w:rPr>
          <w:rFonts w:hint="eastAsia" w:ascii="宋体" w:hAnsi="宋体" w:cs="宋体"/>
          <w:color w:val="auto"/>
          <w:highlight w:val="none"/>
          <w:lang w:val="en-US" w:eastAsia="zh-CN"/>
        </w:rPr>
        <w:t>4.5</w:t>
      </w:r>
      <w:r>
        <w:rPr>
          <w:rFonts w:hint="eastAsia" w:ascii="宋体" w:hAnsi="宋体" w:cs="宋体"/>
          <w:color w:val="auto"/>
          <w:highlight w:val="none"/>
        </w:rPr>
        <w:t>不符合法律、法规和招标文件规定的其他实质性要求的。</w:t>
      </w:r>
    </w:p>
    <w:p>
      <w:pPr>
        <w:pStyle w:val="29"/>
        <w:ind w:firstLine="0" w:firstLineChars="0"/>
        <w:rPr>
          <w:rFonts w:ascii="宋体" w:hAnsi="宋体" w:cs="宋体"/>
          <w:color w:val="auto"/>
          <w:szCs w:val="21"/>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6</w:t>
      </w:r>
      <w:r>
        <w:rPr>
          <w:rFonts w:hint="eastAsia" w:ascii="宋体" w:hAnsi="宋体" w:cs="宋体"/>
          <w:color w:val="auto"/>
          <w:szCs w:val="21"/>
          <w:highlight w:val="none"/>
        </w:rPr>
        <w:t>招标文件另明确定义为无效投标的情况。</w:t>
      </w:r>
    </w:p>
    <w:p>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5、答疑及招标文件的修改</w:t>
      </w:r>
    </w:p>
    <w:p>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如对本次竞争性谈判文件存在疑问，请竞标方以电子邮件的形式在竞标截止日期前3天提交，招标人将做统一答复，如在规定时间内未收到任何质疑，则视为各竞标方对竞争性谈判文件无异议。</w:t>
      </w:r>
    </w:p>
    <w:p>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在评标结束前，招标人有权对招标文件进行澄清、修改，这些补充修改文件是招标文件的组成部分，对投标人有约束作用。若澄清或者修改的内容可能影响资格预审申请文件或者投标文件编制的，招标人应当采取与本招标文件相同的方式发布或告知竞标方，必要时招标人应当延长投标截止时间。竞标方应当尽到注意义务，及时关注招标人可能发布的公示文件。</w:t>
      </w:r>
    </w:p>
    <w:p>
      <w:pPr>
        <w:pStyle w:val="29"/>
        <w:ind w:firstLine="0" w:firstLineChars="0"/>
        <w:outlineLvl w:val="3"/>
        <w:rPr>
          <w:rFonts w:ascii="宋体" w:hAnsi="宋体" w:cs="宋体"/>
          <w:b/>
          <w:bCs/>
          <w:color w:val="auto"/>
          <w:szCs w:val="21"/>
          <w:highlight w:val="none"/>
        </w:rPr>
      </w:pPr>
      <w:r>
        <w:rPr>
          <w:rFonts w:hint="eastAsia" w:ascii="宋体" w:hAnsi="宋体" w:cs="宋体"/>
          <w:b/>
          <w:bCs/>
          <w:color w:val="auto"/>
          <w:szCs w:val="21"/>
          <w:highlight w:val="none"/>
        </w:rPr>
        <w:t>6、投标文件的补充、修改、撤回及投标有效期</w:t>
      </w:r>
    </w:p>
    <w:p>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投标文件不得有涂改、增删及行间插字。若有修改须由签署投标文件的法人代表或法人授权代表人在修改处进行签字并捺印。</w:t>
      </w:r>
    </w:p>
    <w:p>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竞标方在递交投标文件以后，在规定的投标截止日之前，可以书面形式补充修改或撤回已提交的投标文件，不得与招标文件实质性要求相冲突，修改或撤回前要一并通知招标人。补充、修改的内容为投标文件的组成部分。投标人对投标文件的补充修改应符合本招标文件对密封、标志和递交等的规定，并在内外密封袋上清楚标明“补充修改”字样。</w:t>
      </w:r>
    </w:p>
    <w:p>
      <w:pPr>
        <w:pStyle w:val="29"/>
        <w:ind w:firstLine="0" w:firstLineChars="0"/>
        <w:rPr>
          <w:rFonts w:ascii="宋体" w:hAnsi="宋体" w:cs="宋体"/>
          <w:color w:val="auto"/>
          <w:szCs w:val="21"/>
          <w:highlight w:val="none"/>
        </w:rPr>
      </w:pPr>
      <w:r>
        <w:rPr>
          <w:rFonts w:hint="eastAsia" w:ascii="宋体" w:hAnsi="宋体" w:cs="宋体"/>
          <w:color w:val="auto"/>
          <w:szCs w:val="21"/>
          <w:highlight w:val="none"/>
        </w:rPr>
        <w:t>投标文件有效期为从规定的开标时间（投标截止时间）起</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rPr>
        <w:t>天内，在此期间内投标文件有效，投标人不得改变其在投标文件中承诺的全部义务。特殊情况下，在原投标有效期期满之前，招标人可以延长有效期。</w:t>
      </w:r>
    </w:p>
    <w:p>
      <w:pPr>
        <w:pStyle w:val="29"/>
        <w:ind w:firstLine="0" w:firstLineChars="0"/>
        <w:rPr>
          <w:rFonts w:ascii="宋体" w:hAnsi="宋体" w:cs="宋体"/>
          <w:color w:val="auto"/>
          <w:szCs w:val="21"/>
          <w:highlight w:val="none"/>
        </w:rPr>
      </w:pPr>
    </w:p>
    <w:p>
      <w:pPr>
        <w:pStyle w:val="29"/>
        <w:snapToGrid w:val="0"/>
        <w:ind w:firstLine="0" w:firstLineChars="0"/>
        <w:rPr>
          <w:rFonts w:ascii="宋体" w:hAnsi="宋体" w:cs="宋体"/>
          <w:color w:val="auto"/>
          <w:highlight w:val="none"/>
        </w:rPr>
      </w:pPr>
    </w:p>
    <w:p>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1" w:name="_Toc115424827"/>
      <w:bookmarkStart w:id="12" w:name="_Toc115362801"/>
      <w:bookmarkStart w:id="13" w:name="_Toc115362485"/>
      <w:bookmarkStart w:id="14" w:name="_Toc115362582"/>
      <w:r>
        <w:rPr>
          <w:rFonts w:hint="eastAsia" w:ascii="宋体" w:hAnsi="宋体" w:eastAsia="宋体" w:cs="宋体"/>
          <w:b/>
          <w:bCs/>
          <w:color w:val="auto"/>
          <w:sz w:val="32"/>
          <w:szCs w:val="32"/>
          <w:highlight w:val="none"/>
        </w:rPr>
        <w:t>开标、评标须知</w:t>
      </w:r>
      <w:bookmarkEnd w:id="11"/>
      <w:bookmarkEnd w:id="12"/>
      <w:bookmarkEnd w:id="13"/>
      <w:bookmarkEnd w:id="14"/>
    </w:p>
    <w:p>
      <w:pPr>
        <w:pStyle w:val="30"/>
        <w:ind w:firstLine="0" w:firstLineChars="0"/>
        <w:outlineLvl w:val="1"/>
        <w:rPr>
          <w:rFonts w:ascii="宋体" w:hAnsi="宋体" w:cs="宋体"/>
          <w:color w:val="auto"/>
          <w:highlight w:val="none"/>
        </w:rPr>
      </w:pPr>
      <w:r>
        <w:rPr>
          <w:rFonts w:hint="eastAsia" w:ascii="宋体" w:hAnsi="宋体" w:cs="宋体"/>
          <w:color w:val="auto"/>
          <w:highlight w:val="none"/>
        </w:rPr>
        <w:t>1、开标</w:t>
      </w:r>
    </w:p>
    <w:p>
      <w:pPr>
        <w:pStyle w:val="29"/>
        <w:ind w:firstLineChars="0"/>
        <w:rPr>
          <w:rFonts w:ascii="宋体" w:hAnsi="宋体" w:cs="宋体"/>
          <w:color w:val="auto"/>
          <w:highlight w:val="none"/>
        </w:rPr>
      </w:pPr>
      <w:r>
        <w:rPr>
          <w:rFonts w:hint="eastAsia" w:ascii="宋体" w:hAnsi="宋体" w:cs="宋体"/>
          <w:color w:val="auto"/>
          <w:highlight w:val="none"/>
        </w:rPr>
        <w:t>1.1时间： 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auto"/>
          <w:highlight w:val="none"/>
          <w:lang w:val="en-US" w:eastAsia="zh-CN"/>
        </w:rPr>
        <w:t>08</w:t>
      </w:r>
      <w:r>
        <w:rPr>
          <w:rFonts w:hint="eastAsia" w:ascii="宋体" w:hAnsi="宋体" w:cs="宋体"/>
          <w:color w:val="auto"/>
          <w:highlight w:val="none"/>
        </w:rPr>
        <w:t>月</w:t>
      </w:r>
      <w:r>
        <w:rPr>
          <w:rFonts w:hint="eastAsia" w:ascii="宋体" w:hAnsi="宋体" w:cs="宋体"/>
          <w:color w:val="auto"/>
          <w:highlight w:val="none"/>
          <w:lang w:val="en-US" w:eastAsia="zh-CN"/>
        </w:rPr>
        <w:t>09</w:t>
      </w:r>
      <w:r>
        <w:rPr>
          <w:rFonts w:hint="eastAsia" w:ascii="宋体" w:hAnsi="宋体" w:cs="宋体"/>
          <w:color w:val="auto"/>
          <w:highlight w:val="none"/>
        </w:rPr>
        <w:t>日上午9点00分（北京时间）</w:t>
      </w:r>
    </w:p>
    <w:p>
      <w:pPr>
        <w:pStyle w:val="29"/>
        <w:ind w:firstLineChars="0"/>
        <w:rPr>
          <w:rFonts w:hint="default" w:ascii="宋体" w:hAnsi="宋体" w:eastAsia="宋体" w:cs="宋体"/>
          <w:color w:val="auto"/>
          <w:highlight w:val="none"/>
          <w:lang w:val="en-US" w:eastAsia="zh-CN"/>
        </w:rPr>
      </w:pPr>
      <w:r>
        <w:rPr>
          <w:rFonts w:hint="eastAsia" w:ascii="宋体" w:hAnsi="宋体" w:cs="宋体"/>
          <w:color w:val="auto"/>
          <w:highlight w:val="none"/>
        </w:rPr>
        <w:t>1.2地点：四川省</w:t>
      </w:r>
      <w:r>
        <w:rPr>
          <w:rFonts w:hint="eastAsia" w:ascii="宋体" w:hAnsi="宋体" w:cs="宋体"/>
          <w:color w:val="auto"/>
          <w:highlight w:val="none"/>
          <w:lang w:val="en-US" w:eastAsia="zh-CN"/>
        </w:rPr>
        <w:t>眉山市丹棱县眉山琏升科技有限公司</w:t>
      </w:r>
    </w:p>
    <w:p>
      <w:pPr>
        <w:pStyle w:val="30"/>
        <w:ind w:firstLine="0" w:firstLineChars="0"/>
        <w:outlineLvl w:val="1"/>
        <w:rPr>
          <w:rFonts w:ascii="宋体" w:hAnsi="宋体" w:cs="宋体"/>
          <w:color w:val="auto"/>
          <w:highlight w:val="none"/>
        </w:rPr>
      </w:pPr>
      <w:r>
        <w:rPr>
          <w:rFonts w:hint="eastAsia" w:ascii="宋体" w:hAnsi="宋体" w:cs="宋体"/>
          <w:color w:val="auto"/>
          <w:highlight w:val="none"/>
        </w:rPr>
        <w:t>2、评标</w:t>
      </w:r>
    </w:p>
    <w:p>
      <w:pPr>
        <w:pStyle w:val="29"/>
        <w:ind w:firstLineChars="0"/>
        <w:rPr>
          <w:rFonts w:ascii="宋体" w:hAnsi="宋体" w:cs="宋体"/>
          <w:color w:val="auto"/>
          <w:highlight w:val="none"/>
        </w:rPr>
      </w:pPr>
      <w:r>
        <w:rPr>
          <w:rFonts w:hint="eastAsia" w:ascii="宋体" w:hAnsi="宋体" w:cs="宋体"/>
          <w:color w:val="auto"/>
          <w:highlight w:val="none"/>
        </w:rPr>
        <w:t>2.1评标由眉山琏升光伏科技有限公司招采部负责组织，并成立评标小组。</w:t>
      </w:r>
    </w:p>
    <w:p>
      <w:pPr>
        <w:pStyle w:val="29"/>
        <w:ind w:firstLineChars="0"/>
        <w:rPr>
          <w:rFonts w:ascii="宋体" w:hAnsi="宋体" w:cs="宋体"/>
          <w:color w:val="auto"/>
          <w:highlight w:val="none"/>
        </w:rPr>
      </w:pPr>
      <w:r>
        <w:rPr>
          <w:rFonts w:hint="eastAsia" w:ascii="宋体" w:hAnsi="宋体" w:cs="宋体"/>
          <w:color w:val="auto"/>
          <w:highlight w:val="none"/>
        </w:rPr>
        <w:t>2.2开标后再进入评标程序。</w:t>
      </w:r>
    </w:p>
    <w:p>
      <w:pPr>
        <w:pStyle w:val="29"/>
        <w:ind w:firstLineChars="0"/>
        <w:rPr>
          <w:rFonts w:ascii="宋体" w:hAnsi="宋体" w:cs="宋体"/>
          <w:color w:val="auto"/>
          <w:highlight w:val="none"/>
        </w:rPr>
      </w:pPr>
      <w:r>
        <w:rPr>
          <w:rFonts w:hint="eastAsia" w:ascii="宋体" w:hAnsi="宋体" w:cs="宋体"/>
          <w:color w:val="auto"/>
          <w:highlight w:val="none"/>
        </w:rPr>
        <w:t>2.3评标程序</w:t>
      </w:r>
    </w:p>
    <w:p>
      <w:pPr>
        <w:pStyle w:val="29"/>
        <w:ind w:firstLine="420" w:firstLineChars="0"/>
        <w:rPr>
          <w:rFonts w:ascii="宋体" w:hAnsi="宋体" w:cs="宋体"/>
          <w:color w:val="auto"/>
          <w:highlight w:val="none"/>
        </w:rPr>
      </w:pPr>
      <w:r>
        <w:rPr>
          <w:rFonts w:hint="eastAsia" w:ascii="宋体" w:hAnsi="宋体" w:cs="宋体"/>
          <w:color w:val="auto"/>
          <w:highlight w:val="none"/>
        </w:rPr>
        <w:t>1）竞标文件审查：开标后，评标小组先就竞标方竞标文件是否响应招标文件进行初步的符合性审查。</w:t>
      </w:r>
    </w:p>
    <w:p>
      <w:pPr>
        <w:pStyle w:val="29"/>
        <w:ind w:firstLine="420" w:firstLineChars="0"/>
        <w:rPr>
          <w:rFonts w:ascii="宋体" w:hAnsi="宋体" w:cs="宋体"/>
          <w:color w:val="auto"/>
          <w:highlight w:val="none"/>
        </w:rPr>
      </w:pPr>
      <w:r>
        <w:rPr>
          <w:rFonts w:hint="eastAsia" w:ascii="宋体" w:hAnsi="宋体" w:cs="宋体"/>
          <w:color w:val="auto"/>
          <w:highlight w:val="none"/>
        </w:rPr>
        <w:t>2）评标小组对竞标文件内容进行审查，对需要质询的地方，将及时通知竞标人进行答复，经确认质询问题得到答复后，开始对标书进行评审。</w:t>
      </w:r>
    </w:p>
    <w:p>
      <w:pPr>
        <w:pStyle w:val="29"/>
        <w:ind w:firstLine="420" w:firstLineChars="0"/>
        <w:rPr>
          <w:rFonts w:ascii="宋体" w:hAnsi="宋体" w:cs="宋体"/>
          <w:color w:val="auto"/>
          <w:highlight w:val="none"/>
        </w:rPr>
      </w:pPr>
      <w:r>
        <w:rPr>
          <w:rFonts w:hint="eastAsia" w:ascii="宋体" w:hAnsi="宋体" w:cs="宋体"/>
          <w:color w:val="auto"/>
          <w:highlight w:val="none"/>
        </w:rPr>
        <w:t>3）对竞标单位的技术标、商务标等方面进行综合评定，并按下述“3、确定中标方”中规定进行评审。评标及评标中形成的文件资料一般应当在开、评标现场进行。</w:t>
      </w:r>
    </w:p>
    <w:p>
      <w:pPr>
        <w:pStyle w:val="29"/>
        <w:ind w:firstLine="420" w:firstLineChars="0"/>
        <w:rPr>
          <w:rFonts w:ascii="宋体" w:hAnsi="宋体" w:cs="宋体"/>
          <w:color w:val="auto"/>
          <w:highlight w:val="none"/>
        </w:rPr>
      </w:pPr>
      <w:r>
        <w:rPr>
          <w:rFonts w:hint="eastAsia" w:ascii="宋体" w:hAnsi="宋体" w:cs="宋体"/>
          <w:color w:val="auto"/>
          <w:highlight w:val="none"/>
        </w:rPr>
        <w:t>4）评标结果审批：评标小组将评标情况、中标建议名单及理由形成评标报告，由招标管理小组按公司审批流程和权限审批确定中标单位。</w:t>
      </w:r>
    </w:p>
    <w:p>
      <w:pPr>
        <w:pStyle w:val="29"/>
        <w:ind w:firstLine="140" w:firstLineChars="67"/>
        <w:outlineLvl w:val="2"/>
        <w:rPr>
          <w:rFonts w:ascii="宋体" w:hAnsi="宋体" w:cs="宋体"/>
          <w:color w:val="auto"/>
          <w:highlight w:val="none"/>
        </w:rPr>
      </w:pPr>
      <w:r>
        <w:rPr>
          <w:rFonts w:hint="eastAsia" w:ascii="宋体" w:hAnsi="宋体" w:cs="宋体"/>
          <w:color w:val="auto"/>
          <w:highlight w:val="none"/>
        </w:rPr>
        <w:t>2.4评标原则和规定</w:t>
      </w:r>
    </w:p>
    <w:p>
      <w:pPr>
        <w:pStyle w:val="29"/>
        <w:ind w:firstLine="420" w:firstLineChars="0"/>
        <w:rPr>
          <w:rFonts w:ascii="宋体" w:hAnsi="宋体" w:cs="宋体"/>
          <w:color w:val="auto"/>
          <w:highlight w:val="none"/>
        </w:rPr>
      </w:pPr>
      <w:r>
        <w:rPr>
          <w:rFonts w:hint="eastAsia" w:ascii="宋体" w:hAnsi="宋体" w:cs="宋体"/>
          <w:color w:val="auto"/>
          <w:highlight w:val="none"/>
        </w:rPr>
        <w:t>1）竞标文件不符合要求的或竞标方不符合竞标资格的，评标小组将直接确认为“废标”，并取消竞标方资格。</w:t>
      </w:r>
    </w:p>
    <w:p>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评标对所有竞标单位采用相同的程序和标准进行。</w:t>
      </w:r>
    </w:p>
    <w:p>
      <w:pPr>
        <w:pStyle w:val="29"/>
        <w:numPr>
          <w:ilvl w:val="0"/>
          <w:numId w:val="6"/>
        </w:numPr>
        <w:ind w:firstLineChars="0"/>
        <w:rPr>
          <w:rFonts w:ascii="宋体" w:hAnsi="宋体" w:cs="宋体"/>
          <w:color w:val="auto"/>
          <w:highlight w:val="none"/>
        </w:rPr>
      </w:pPr>
      <w:r>
        <w:rPr>
          <w:rFonts w:hint="eastAsia" w:ascii="宋体" w:hAnsi="宋体" w:cs="宋体"/>
          <w:color w:val="auto"/>
          <w:highlight w:val="none"/>
        </w:rPr>
        <w:t>评标工作小组将保守竞标文件中属于竞标单位的商业秘密。</w:t>
      </w:r>
    </w:p>
    <w:p>
      <w:pPr>
        <w:pStyle w:val="29"/>
        <w:ind w:left="420" w:firstLine="0" w:firstLineChars="0"/>
        <w:rPr>
          <w:rFonts w:ascii="宋体" w:hAnsi="宋体" w:cs="宋体"/>
          <w:color w:val="auto"/>
          <w:highlight w:val="none"/>
        </w:rPr>
      </w:pPr>
      <w:r>
        <w:rPr>
          <w:rFonts w:hint="eastAsia" w:ascii="宋体" w:hAnsi="宋体" w:cs="宋体"/>
          <w:color w:val="auto"/>
          <w:highlight w:val="none"/>
        </w:rPr>
        <w:t>4）评标工作小组要求竞标单位就竞标文件中含义不明确的内容进行必要的澄清、说明时，竞标单位必须按评标工作小组规定的时间和形式给予答复，但不得对竞标内容进行实质性变更。</w:t>
      </w:r>
    </w:p>
    <w:p>
      <w:pPr>
        <w:pStyle w:val="29"/>
        <w:ind w:firstLine="420" w:firstLineChars="0"/>
        <w:rPr>
          <w:rFonts w:ascii="宋体" w:hAnsi="宋体" w:cs="宋体"/>
          <w:color w:val="auto"/>
          <w:highlight w:val="none"/>
        </w:rPr>
      </w:pPr>
      <w:r>
        <w:rPr>
          <w:rFonts w:hint="eastAsia" w:ascii="宋体" w:hAnsi="宋体" w:cs="宋体"/>
          <w:color w:val="auto"/>
          <w:highlight w:val="none"/>
        </w:rPr>
        <w:t>5）竞标单位不得在最终评标结果公布前向评标工作小组成员询问情况，不得向评标工作小组成员赠送礼金、礼物或给予各种形式利益的承诺，否则将被取消本次及今后我司一切招标项目的竞标资格。</w:t>
      </w:r>
    </w:p>
    <w:p>
      <w:pPr>
        <w:pStyle w:val="29"/>
        <w:ind w:firstLine="420" w:firstLineChars="0"/>
        <w:rPr>
          <w:rFonts w:ascii="宋体" w:hAnsi="宋体" w:cs="宋体"/>
          <w:color w:val="auto"/>
          <w:highlight w:val="none"/>
        </w:rPr>
      </w:pPr>
      <w:r>
        <w:rPr>
          <w:rFonts w:hint="eastAsia" w:ascii="宋体" w:hAnsi="宋体" w:cs="宋体"/>
          <w:color w:val="auto"/>
          <w:highlight w:val="none"/>
        </w:rPr>
        <w:t>6）竞标单位不得相互串通报价，不得排挤其它竞标单位的公平竞争，否则将被取消本次及今后我司一切招标项目的竞标资格。</w:t>
      </w:r>
    </w:p>
    <w:p>
      <w:pPr>
        <w:pStyle w:val="30"/>
        <w:ind w:firstLine="0" w:firstLineChars="0"/>
        <w:outlineLvl w:val="1"/>
        <w:rPr>
          <w:rFonts w:ascii="宋体" w:hAnsi="宋体" w:cs="宋体"/>
          <w:color w:val="auto"/>
          <w:highlight w:val="none"/>
        </w:rPr>
      </w:pPr>
      <w:r>
        <w:rPr>
          <w:rFonts w:hint="eastAsia" w:ascii="宋体" w:hAnsi="宋体" w:cs="宋体"/>
          <w:color w:val="auto"/>
          <w:highlight w:val="none"/>
        </w:rPr>
        <w:t>3、确定中标方</w:t>
      </w:r>
    </w:p>
    <w:p>
      <w:pPr>
        <w:pStyle w:val="29"/>
        <w:ind w:firstLineChars="0"/>
        <w:rPr>
          <w:rFonts w:ascii="宋体" w:hAnsi="宋体" w:cs="宋体"/>
          <w:color w:val="auto"/>
          <w:highlight w:val="none"/>
        </w:rPr>
      </w:pPr>
      <w:r>
        <w:rPr>
          <w:rFonts w:hint="eastAsia" w:ascii="宋体" w:hAnsi="宋体" w:cs="宋体"/>
          <w:color w:val="auto"/>
          <w:highlight w:val="none"/>
        </w:rPr>
        <w:t>3.1评标小组成员经过竞标文件审查及内容质询后，对竞标单位的方案、竞标报价、性能描述、售后服务及资质等方面采用</w:t>
      </w:r>
      <w:r>
        <w:rPr>
          <w:rFonts w:hint="eastAsia" w:ascii="宋体" w:hAnsi="宋体" w:cs="宋体"/>
          <w:color w:val="auto"/>
          <w:highlight w:val="none"/>
          <w:lang w:val="en-US" w:eastAsia="zh-CN"/>
        </w:rPr>
        <w:t>最低价</w:t>
      </w:r>
      <w:r>
        <w:rPr>
          <w:rFonts w:hint="eastAsia" w:ascii="宋体" w:hAnsi="宋体" w:cs="宋体"/>
          <w:color w:val="auto"/>
          <w:highlight w:val="none"/>
        </w:rPr>
        <w:t>评标</w:t>
      </w:r>
      <w:r>
        <w:rPr>
          <w:rFonts w:hint="eastAsia" w:ascii="宋体" w:hAnsi="宋体" w:cs="宋体"/>
          <w:color w:val="auto"/>
          <w:highlight w:val="none"/>
          <w:lang w:val="en-US" w:eastAsia="zh-CN"/>
        </w:rPr>
        <w:t>法，不排除会选择多家供应商作为中标单位</w:t>
      </w:r>
      <w:r>
        <w:rPr>
          <w:rFonts w:hint="eastAsia" w:ascii="宋体" w:hAnsi="宋体" w:cs="宋体"/>
          <w:color w:val="auto"/>
          <w:highlight w:val="none"/>
        </w:rPr>
        <w:t>。</w:t>
      </w:r>
    </w:p>
    <w:p>
      <w:pPr>
        <w:pStyle w:val="29"/>
        <w:ind w:firstLineChars="0"/>
        <w:outlineLvl w:val="2"/>
        <w:rPr>
          <w:rFonts w:ascii="宋体" w:hAnsi="宋体" w:cs="宋体"/>
          <w:color w:val="auto"/>
          <w:highlight w:val="none"/>
        </w:rPr>
      </w:pPr>
      <w:r>
        <w:rPr>
          <w:rFonts w:hint="eastAsia" w:ascii="宋体" w:hAnsi="宋体" w:cs="宋体"/>
          <w:color w:val="auto"/>
          <w:highlight w:val="none"/>
        </w:rPr>
        <w:t>3.2结标</w:t>
      </w:r>
    </w:p>
    <w:p>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按招标单位审批流程和权限审批确定中标单位。</w:t>
      </w:r>
    </w:p>
    <w:p>
      <w:pPr>
        <w:pStyle w:val="29"/>
        <w:numPr>
          <w:ilvl w:val="0"/>
          <w:numId w:val="7"/>
        </w:numPr>
        <w:ind w:firstLineChars="0"/>
        <w:rPr>
          <w:rFonts w:ascii="宋体" w:hAnsi="宋体" w:cs="宋体"/>
          <w:color w:val="auto"/>
          <w:highlight w:val="none"/>
        </w:rPr>
      </w:pPr>
      <w:r>
        <w:rPr>
          <w:rFonts w:hint="eastAsia" w:ascii="宋体" w:hAnsi="宋体" w:cs="宋体"/>
          <w:color w:val="auto"/>
          <w:highlight w:val="none"/>
        </w:rPr>
        <w:t>招标结果由招标单位管理小组邮件和电话通知。招标方不向落标方解释落标原因并不退还竞标文件。</w:t>
      </w:r>
    </w:p>
    <w:p>
      <w:pPr>
        <w:pStyle w:val="29"/>
        <w:ind w:left="200" w:firstLine="0" w:firstLineChars="0"/>
        <w:rPr>
          <w:rFonts w:ascii="宋体" w:hAnsi="宋体" w:cs="宋体"/>
          <w:color w:val="auto"/>
          <w:highlight w:val="none"/>
        </w:rPr>
      </w:pPr>
      <w:r>
        <w:rPr>
          <w:rFonts w:hint="eastAsia" w:ascii="宋体" w:hAnsi="宋体" w:cs="宋体"/>
          <w:color w:val="auto"/>
          <w:highlight w:val="none"/>
        </w:rPr>
        <w:t>3）本次招标设立招标监督，竞标方对本次招竞标工作中存在的任何单位、人员旨在影响评标结果的活动均可向眉山琏升光伏科技有限公司相关部门进行投诉和举报，投诉举报邮箱：CS@leascend.com或ComplianceSupervision@leascend.com。</w:t>
      </w:r>
    </w:p>
    <w:p>
      <w:pPr>
        <w:pStyle w:val="30"/>
        <w:ind w:firstLine="0" w:firstLineChars="0"/>
        <w:outlineLvl w:val="1"/>
        <w:rPr>
          <w:rFonts w:ascii="宋体" w:hAnsi="宋体" w:cs="宋体"/>
          <w:color w:val="auto"/>
          <w:highlight w:val="none"/>
        </w:rPr>
      </w:pPr>
      <w:r>
        <w:rPr>
          <w:rFonts w:hint="eastAsia" w:ascii="宋体" w:hAnsi="宋体" w:cs="宋体"/>
          <w:color w:val="auto"/>
          <w:highlight w:val="none"/>
        </w:rPr>
        <w:t>4、竞标费用</w:t>
      </w:r>
    </w:p>
    <w:p>
      <w:pPr>
        <w:pStyle w:val="29"/>
        <w:ind w:firstLine="0" w:firstLineChars="0"/>
        <w:rPr>
          <w:rFonts w:ascii="宋体" w:hAnsi="宋体" w:cs="宋体"/>
          <w:color w:val="auto"/>
          <w:highlight w:val="none"/>
        </w:rPr>
      </w:pPr>
      <w:r>
        <w:rPr>
          <w:rFonts w:hint="eastAsia" w:ascii="宋体" w:hAnsi="宋体" w:cs="宋体"/>
          <w:color w:val="auto"/>
          <w:highlight w:val="none"/>
        </w:rPr>
        <w:t>竞标方应承担所有与准备和参加竞标有关的费用，不论竞标的结果如何，所有费用均由竞标方承担。</w:t>
      </w:r>
    </w:p>
    <w:p>
      <w:pPr>
        <w:pStyle w:val="30"/>
        <w:numPr>
          <w:ilvl w:val="0"/>
          <w:numId w:val="8"/>
        </w:numPr>
        <w:ind w:firstLineChars="0"/>
        <w:outlineLvl w:val="1"/>
        <w:rPr>
          <w:rFonts w:ascii="宋体" w:hAnsi="宋体" w:cs="宋体"/>
          <w:color w:val="auto"/>
          <w:highlight w:val="none"/>
        </w:rPr>
      </w:pPr>
      <w:r>
        <w:rPr>
          <w:rFonts w:hint="eastAsia" w:ascii="宋体" w:hAnsi="宋体" w:cs="宋体"/>
          <w:color w:val="auto"/>
          <w:highlight w:val="none"/>
        </w:rPr>
        <w:t>授予合同</w:t>
      </w:r>
    </w:p>
    <w:p>
      <w:pPr>
        <w:pStyle w:val="29"/>
        <w:ind w:firstLine="360" w:firstLineChars="0"/>
        <w:rPr>
          <w:rFonts w:ascii="宋体" w:hAnsi="宋体" w:cs="宋体"/>
          <w:color w:val="auto"/>
          <w:highlight w:val="none"/>
        </w:rPr>
      </w:pPr>
      <w:r>
        <w:rPr>
          <w:rFonts w:hint="eastAsia" w:ascii="宋体" w:hAnsi="宋体" w:cs="宋体"/>
          <w:color w:val="auto"/>
          <w:highlight w:val="none"/>
        </w:rPr>
        <w:t>5.1中标通知：根据定标结果，招标人将向中标人发出《中标通知书》。</w:t>
      </w:r>
    </w:p>
    <w:p>
      <w:pPr>
        <w:pStyle w:val="29"/>
        <w:ind w:left="360" w:firstLine="0" w:firstLineChars="0"/>
        <w:outlineLvl w:val="2"/>
        <w:rPr>
          <w:rFonts w:ascii="宋体" w:hAnsi="宋体" w:cs="宋体"/>
          <w:color w:val="auto"/>
          <w:highlight w:val="none"/>
        </w:rPr>
      </w:pPr>
      <w:r>
        <w:rPr>
          <w:rFonts w:hint="eastAsia" w:ascii="宋体" w:hAnsi="宋体" w:cs="宋体"/>
          <w:color w:val="auto"/>
          <w:highlight w:val="none"/>
        </w:rPr>
        <w:t>5.2 签约</w:t>
      </w:r>
    </w:p>
    <w:p>
      <w:pPr>
        <w:pStyle w:val="29"/>
        <w:ind w:left="360" w:firstLine="0" w:firstLineChars="0"/>
        <w:rPr>
          <w:rFonts w:ascii="宋体" w:hAnsi="宋体" w:cs="宋体"/>
          <w:color w:val="auto"/>
          <w:highlight w:val="none"/>
        </w:rPr>
      </w:pPr>
      <w:r>
        <w:rPr>
          <w:rFonts w:hint="eastAsia" w:ascii="宋体" w:hAnsi="宋体" w:cs="宋体"/>
          <w:color w:val="auto"/>
          <w:highlight w:val="none"/>
        </w:rPr>
        <w:t>5.2.1中标人在接到《中标通知书》后，必须在7个工作日内，派遣授权代表与招标人进行合同谈判、草签合同，10 个工作日内必须签订正式合同。中标人不得对合同价格、合同条款、技术要求和供货范围等内容与竞争性谈判文件、投标文件、澄清文件等相关文件有任何实质性改变，如果上述内容发生重大变动，且不符合招标人的要求时，招标人有权终止与中标人签约，且不承担任何违约或缔约过失责任。</w:t>
      </w:r>
    </w:p>
    <w:p>
      <w:pPr>
        <w:pStyle w:val="29"/>
        <w:ind w:left="360" w:firstLine="0" w:firstLineChars="0"/>
        <w:rPr>
          <w:rFonts w:ascii="宋体" w:hAnsi="宋体" w:cs="宋体"/>
          <w:color w:val="auto"/>
          <w:highlight w:val="none"/>
        </w:rPr>
      </w:pPr>
      <w:r>
        <w:rPr>
          <w:rFonts w:hint="eastAsia" w:ascii="宋体" w:hAnsi="宋体" w:cs="宋体"/>
          <w:color w:val="auto"/>
          <w:highlight w:val="none"/>
        </w:rPr>
        <w:t>5.2.2合同签订时或合同生效后，招标人有权按竞标书各项内容/单价增加或减少任何一项或多项的数量，合同内容/价格可做相应调整</w:t>
      </w:r>
      <w:r>
        <w:rPr>
          <w:rFonts w:hint="eastAsia" w:ascii="宋体" w:hAnsi="宋体" w:cs="宋体"/>
          <w:color w:val="auto"/>
          <w:kern w:val="0"/>
          <w:szCs w:val="21"/>
          <w:highlight w:val="none"/>
        </w:rPr>
        <w:t>，不视为对招投标文件内容的实质性变更</w:t>
      </w:r>
      <w:r>
        <w:rPr>
          <w:rFonts w:hint="eastAsia" w:ascii="宋体" w:hAnsi="宋体" w:cs="宋体"/>
          <w:color w:val="auto"/>
          <w:highlight w:val="none"/>
        </w:rPr>
        <w:t>。</w:t>
      </w:r>
    </w:p>
    <w:p>
      <w:pPr>
        <w:pStyle w:val="29"/>
        <w:ind w:left="360" w:firstLine="0" w:firstLineChars="0"/>
        <w:rPr>
          <w:rFonts w:ascii="宋体" w:hAnsi="宋体" w:cs="宋体"/>
          <w:color w:val="auto"/>
          <w:highlight w:val="none"/>
        </w:rPr>
      </w:pPr>
      <w:r>
        <w:rPr>
          <w:rFonts w:hint="eastAsia" w:ascii="宋体" w:hAnsi="宋体" w:cs="宋体"/>
          <w:color w:val="auto"/>
          <w:highlight w:val="none"/>
        </w:rPr>
        <w:t>5.2.3在合同签订后，招标人有权提出因规范标准、规程发生变化而产生的一些补充要求，竞标人应按这些要求执行。</w:t>
      </w:r>
    </w:p>
    <w:p>
      <w:pPr>
        <w:pStyle w:val="29"/>
        <w:ind w:left="360" w:firstLine="0" w:firstLineChars="0"/>
        <w:rPr>
          <w:rFonts w:ascii="宋体" w:hAnsi="宋体" w:cs="宋体"/>
          <w:color w:val="auto"/>
          <w:highlight w:val="none"/>
        </w:rPr>
      </w:pPr>
      <w:r>
        <w:rPr>
          <w:rFonts w:hint="eastAsia" w:ascii="宋体" w:hAnsi="宋体" w:cs="宋体"/>
          <w:color w:val="auto"/>
          <w:highlight w:val="none"/>
        </w:rPr>
        <w:t>5.2.4 如果招标人在签约过程中认为中标人不具备履行合同的能力，招标人有权终止与其签约，并将其竞标废弃。在这种情况下，招标人将选择下一个备选中标人，并做出同样的判定。招标人最终将把合同授予被确认为有能力履行合同义务的中标人。</w:t>
      </w:r>
    </w:p>
    <w:p>
      <w:pPr>
        <w:pStyle w:val="29"/>
        <w:ind w:left="360" w:firstLine="0" w:firstLineChars="0"/>
        <w:rPr>
          <w:rFonts w:ascii="宋体" w:hAnsi="宋体" w:cs="宋体"/>
          <w:color w:val="auto"/>
          <w:highlight w:val="none"/>
        </w:rPr>
      </w:pPr>
      <w:r>
        <w:rPr>
          <w:rFonts w:hint="eastAsia" w:ascii="宋体" w:hAnsi="宋体" w:cs="宋体"/>
          <w:color w:val="auto"/>
          <w:highlight w:val="none"/>
        </w:rPr>
        <w:t>5.2.5 在签约过程中或合同生效后，招标人有权对招标文件中规定的设计方案和设备范围进行适当变动和局部增减，相关价格变动将酌情考虑。但如果发生由于竞标人的报价失误而导致的价格变动，招标人将不予接受。</w:t>
      </w:r>
    </w:p>
    <w:p>
      <w:pPr>
        <w:widowControl/>
        <w:jc w:val="left"/>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Style w:val="28"/>
        <w:numPr>
          <w:ilvl w:val="-1"/>
          <w:numId w:val="0"/>
        </w:numPr>
        <w:snapToGrid w:val="0"/>
        <w:ind w:left="0" w:firstLine="0" w:firstLineChars="0"/>
        <w:jc w:val="center"/>
        <w:outlineLvl w:val="0"/>
        <w:rPr>
          <w:rFonts w:ascii="宋体" w:hAnsi="宋体" w:eastAsia="宋体" w:cs="宋体"/>
          <w:b/>
          <w:bCs/>
          <w:color w:val="auto"/>
          <w:sz w:val="32"/>
          <w:szCs w:val="32"/>
          <w:highlight w:val="none"/>
        </w:rPr>
      </w:pPr>
      <w:bookmarkStart w:id="15" w:name="_Toc115362583"/>
      <w:bookmarkStart w:id="16" w:name="_Toc115424828"/>
      <w:bookmarkStart w:id="17" w:name="_Toc115362802"/>
      <w:bookmarkStart w:id="18" w:name="_Toc115362486"/>
      <w:r>
        <w:rPr>
          <w:rFonts w:hint="eastAsia" w:ascii="宋体" w:hAnsi="宋体" w:eastAsia="宋体" w:cs="宋体"/>
          <w:b/>
          <w:bCs/>
          <w:color w:val="auto"/>
          <w:sz w:val="32"/>
          <w:szCs w:val="32"/>
          <w:highlight w:val="none"/>
          <w:lang w:val="en-US" w:eastAsia="zh-CN"/>
        </w:rPr>
        <w:t xml:space="preserve">*第四章 </w:t>
      </w:r>
      <w:r>
        <w:rPr>
          <w:rFonts w:hint="eastAsia" w:ascii="宋体" w:hAnsi="宋体" w:eastAsia="宋体" w:cs="宋体"/>
          <w:b/>
          <w:bCs/>
          <w:color w:val="auto"/>
          <w:sz w:val="32"/>
          <w:szCs w:val="32"/>
          <w:highlight w:val="none"/>
        </w:rPr>
        <w:t>技术要求</w:t>
      </w:r>
      <w:bookmarkEnd w:id="15"/>
      <w:bookmarkEnd w:id="16"/>
      <w:bookmarkEnd w:id="17"/>
      <w:bookmarkEnd w:id="18"/>
    </w:p>
    <w:p>
      <w:pPr>
        <w:widowControl/>
        <w:jc w:val="left"/>
        <w:rPr>
          <w:rFonts w:ascii="宋体" w:hAnsi="宋体" w:eastAsia="宋体" w:cs="宋体"/>
          <w:b/>
          <w:bCs/>
          <w:color w:val="auto"/>
          <w:sz w:val="32"/>
          <w:szCs w:val="32"/>
          <w:highlight w:val="none"/>
        </w:rPr>
      </w:pPr>
      <w:r>
        <w:rPr>
          <w:rFonts w:hint="eastAsia" w:ascii="宋体" w:hAnsi="宋体" w:eastAsia="宋体" w:cs="宋体"/>
          <w:color w:val="auto"/>
          <w:highlight w:val="none"/>
          <w:lang w:val="en-US" w:eastAsia="zh-CN"/>
        </w:rPr>
        <w:t>详附件</w:t>
      </w:r>
      <w:r>
        <w:rPr>
          <w:rFonts w:hint="eastAsia" w:ascii="宋体" w:hAnsi="宋体" w:eastAsia="宋体" w:cs="宋体"/>
          <w:b/>
          <w:bCs/>
          <w:color w:val="auto"/>
          <w:sz w:val="32"/>
          <w:szCs w:val="32"/>
          <w:highlight w:val="none"/>
        </w:rPr>
        <w:br w:type="page"/>
      </w:r>
    </w:p>
    <w:p>
      <w:pPr>
        <w:pStyle w:val="28"/>
        <w:numPr>
          <w:ilvl w:val="0"/>
          <w:numId w:val="1"/>
        </w:numPr>
        <w:snapToGrid w:val="0"/>
        <w:ind w:firstLineChars="0"/>
        <w:jc w:val="center"/>
        <w:outlineLvl w:val="0"/>
        <w:rPr>
          <w:rFonts w:ascii="宋体" w:hAnsi="宋体" w:eastAsia="宋体" w:cs="宋体"/>
          <w:b/>
          <w:bCs/>
          <w:color w:val="auto"/>
          <w:sz w:val="32"/>
          <w:szCs w:val="32"/>
          <w:highlight w:val="none"/>
        </w:rPr>
      </w:pPr>
      <w:bookmarkStart w:id="19" w:name="_Toc115362584"/>
      <w:bookmarkStart w:id="20" w:name="_Toc115362487"/>
      <w:bookmarkStart w:id="21" w:name="_Toc115424829"/>
      <w:bookmarkStart w:id="22" w:name="_Toc115362803"/>
      <w:r>
        <w:rPr>
          <w:rFonts w:hint="eastAsia" w:ascii="宋体" w:hAnsi="宋体" w:eastAsia="宋体" w:cs="宋体"/>
          <w:b/>
          <w:bCs/>
          <w:color w:val="auto"/>
          <w:sz w:val="32"/>
          <w:szCs w:val="32"/>
          <w:highlight w:val="none"/>
        </w:rPr>
        <w:t>附件</w:t>
      </w:r>
      <w:bookmarkEnd w:id="19"/>
      <w:bookmarkEnd w:id="20"/>
      <w:bookmarkEnd w:id="21"/>
      <w:bookmarkEnd w:id="22"/>
    </w:p>
    <w:p>
      <w:pPr>
        <w:pStyle w:val="30"/>
        <w:ind w:firstLine="0" w:firstLineChars="0"/>
        <w:outlineLvl w:val="1"/>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附件1</w:t>
      </w:r>
    </w:p>
    <w:p>
      <w:pPr>
        <w:pStyle w:val="29"/>
        <w:ind w:firstLine="643"/>
        <w:jc w:val="center"/>
        <w:outlineLvl w:val="1"/>
        <w:rPr>
          <w:rFonts w:ascii="宋体" w:hAnsi="宋体" w:cs="宋体"/>
          <w:b/>
          <w:color w:val="auto"/>
          <w:sz w:val="32"/>
          <w:szCs w:val="32"/>
          <w:highlight w:val="none"/>
        </w:rPr>
      </w:pPr>
      <w:bookmarkStart w:id="23" w:name="_Toc115424830"/>
      <w:bookmarkStart w:id="24" w:name="_Toc115362488"/>
      <w:bookmarkStart w:id="25" w:name="_Toc115362585"/>
      <w:bookmarkStart w:id="26" w:name="_Toc115362804"/>
      <w:r>
        <w:rPr>
          <w:rFonts w:hint="eastAsia" w:ascii="宋体" w:hAnsi="宋体" w:cs="宋体"/>
          <w:b/>
          <w:color w:val="auto"/>
          <w:sz w:val="32"/>
          <w:szCs w:val="32"/>
          <w:highlight w:val="none"/>
        </w:rPr>
        <w:t>竞标书</w:t>
      </w:r>
      <w:bookmarkEnd w:id="23"/>
      <w:bookmarkEnd w:id="24"/>
      <w:bookmarkEnd w:id="25"/>
      <w:bookmarkEnd w:id="26"/>
    </w:p>
    <w:p>
      <w:pPr>
        <w:pStyle w:val="29"/>
        <w:ind w:firstLine="0" w:firstLineChars="0"/>
        <w:rPr>
          <w:rFonts w:ascii="宋体" w:hAnsi="宋体" w:cs="宋体"/>
          <w:color w:val="auto"/>
          <w:highlight w:val="none"/>
        </w:rPr>
      </w:pPr>
    </w:p>
    <w:p>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pPr>
        <w:pStyle w:val="29"/>
        <w:ind w:firstLine="420"/>
        <w:rPr>
          <w:rFonts w:ascii="宋体" w:hAnsi="宋体" w:cs="宋体"/>
          <w:color w:val="auto"/>
          <w:highlight w:val="none"/>
        </w:rPr>
      </w:pPr>
      <w:r>
        <w:rPr>
          <w:rFonts w:hint="eastAsia" w:ascii="宋体" w:hAnsi="宋体" w:cs="宋体"/>
          <w:color w:val="auto"/>
          <w:highlight w:val="none"/>
        </w:rPr>
        <w:t>1、根据已收到</w:t>
      </w:r>
      <w:r>
        <w:rPr>
          <w:rFonts w:hint="eastAsia" w:ascii="宋体" w:hAnsi="宋体" w:cs="宋体"/>
          <w:color w:val="auto"/>
          <w:highlight w:val="none"/>
          <w:u w:val="single"/>
        </w:rPr>
        <w:t xml:space="preserve">          </w:t>
      </w:r>
      <w:r>
        <w:rPr>
          <w:rFonts w:hint="eastAsia" w:ascii="宋体" w:hAnsi="宋体" w:cs="宋体"/>
          <w:color w:val="auto"/>
          <w:highlight w:val="none"/>
        </w:rPr>
        <w:t>项目的招标文件，我方经阅读并研究上述项目招标文件的竞标须知、技术要求、进度要求及其它有关文件后，我方愿以人民币（大写）</w:t>
      </w:r>
      <w:r>
        <w:rPr>
          <w:rFonts w:hint="eastAsia" w:ascii="宋体" w:hAnsi="宋体" w:cs="宋体"/>
          <w:color w:val="auto"/>
          <w:highlight w:val="none"/>
          <w:u w:val="single"/>
        </w:rPr>
        <w:t xml:space="preserve">          </w:t>
      </w:r>
      <w:r>
        <w:rPr>
          <w:rFonts w:hint="eastAsia" w:ascii="宋体" w:hAnsi="宋体" w:cs="宋体"/>
          <w:color w:val="auto"/>
          <w:highlight w:val="none"/>
        </w:rPr>
        <w:t>，（¥</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lang w:val="en-US" w:eastAsia="zh-CN"/>
        </w:rPr>
        <w:t>单价</w:t>
      </w:r>
      <w:r>
        <w:rPr>
          <w:rFonts w:hint="eastAsia" w:ascii="宋体" w:hAnsi="宋体" w:cs="宋体"/>
          <w:color w:val="auto"/>
          <w:highlight w:val="none"/>
        </w:rPr>
        <w:t>，在满足招标文件中所列该项目项目技术和商务要求的前提下，承</w:t>
      </w:r>
      <w:r>
        <w:rPr>
          <w:rFonts w:hint="eastAsia" w:ascii="宋体" w:hAnsi="宋体" w:cs="宋体"/>
          <w:color w:val="auto"/>
          <w:highlight w:val="none"/>
          <w:lang w:val="en-US" w:eastAsia="zh-CN"/>
        </w:rPr>
        <w:t>包该项目的供货、运输、质保</w:t>
      </w:r>
      <w:r>
        <w:rPr>
          <w:rFonts w:hint="eastAsia" w:ascii="宋体" w:hAnsi="宋体" w:cs="宋体"/>
          <w:color w:val="auto"/>
          <w:highlight w:val="none"/>
        </w:rPr>
        <w:t>和售后服务等工作。</w:t>
      </w:r>
    </w:p>
    <w:p>
      <w:pPr>
        <w:pStyle w:val="29"/>
        <w:ind w:firstLine="420"/>
        <w:rPr>
          <w:rFonts w:ascii="宋体" w:hAnsi="宋体" w:cs="宋体"/>
          <w:color w:val="auto"/>
          <w:highlight w:val="none"/>
        </w:rPr>
      </w:pPr>
      <w:r>
        <w:rPr>
          <w:rFonts w:hint="eastAsia" w:ascii="宋体" w:hAnsi="宋体" w:cs="宋体"/>
          <w:color w:val="auto"/>
          <w:highlight w:val="none"/>
        </w:rPr>
        <w:t>2、提供竞标须知中规定的全部竞标文件，其中商务标、技术标、开标一览表正本一份、副本三份，竞标文件电子版U盘一份，保密协议一份。</w:t>
      </w:r>
    </w:p>
    <w:p>
      <w:pPr>
        <w:pStyle w:val="29"/>
        <w:ind w:firstLine="420"/>
        <w:rPr>
          <w:rFonts w:ascii="宋体" w:hAnsi="宋体" w:cs="宋体"/>
          <w:color w:val="auto"/>
          <w:highlight w:val="none"/>
        </w:rPr>
      </w:pPr>
      <w:r>
        <w:rPr>
          <w:rFonts w:hint="eastAsia" w:ascii="宋体" w:hAnsi="宋体" w:cs="宋体"/>
          <w:color w:val="auto"/>
          <w:highlight w:val="none"/>
        </w:rPr>
        <w:t>3、保证遵守</w:t>
      </w:r>
      <w:r>
        <w:rPr>
          <w:rFonts w:hint="eastAsia" w:ascii="宋体" w:hAnsi="宋体" w:cs="宋体"/>
          <w:color w:val="auto"/>
          <w:highlight w:val="none"/>
          <w:lang w:val="en-US" w:eastAsia="zh-CN"/>
        </w:rPr>
        <w:t>竞争性谈判</w:t>
      </w:r>
      <w:r>
        <w:rPr>
          <w:rFonts w:hint="eastAsia" w:ascii="宋体" w:hAnsi="宋体" w:cs="宋体"/>
          <w:color w:val="auto"/>
          <w:highlight w:val="none"/>
        </w:rPr>
        <w:t>文件中的有关规定。</w:t>
      </w:r>
    </w:p>
    <w:p>
      <w:pPr>
        <w:pStyle w:val="29"/>
        <w:ind w:firstLine="420"/>
        <w:rPr>
          <w:rFonts w:ascii="宋体" w:hAnsi="宋体" w:cs="宋体"/>
          <w:color w:val="auto"/>
          <w:highlight w:val="none"/>
        </w:rPr>
      </w:pPr>
      <w:r>
        <w:rPr>
          <w:rFonts w:hint="eastAsia" w:ascii="宋体" w:hAnsi="宋体" w:cs="宋体"/>
          <w:color w:val="auto"/>
          <w:highlight w:val="none"/>
        </w:rPr>
        <w:t>4、保证按《中华人民共和国民法典》履行合同规定的责任和义务。</w:t>
      </w:r>
    </w:p>
    <w:p>
      <w:pPr>
        <w:pStyle w:val="29"/>
        <w:ind w:firstLine="420"/>
        <w:rPr>
          <w:rFonts w:ascii="宋体" w:hAnsi="宋体" w:cs="宋体"/>
          <w:color w:val="auto"/>
          <w:highlight w:val="none"/>
        </w:rPr>
      </w:pPr>
      <w:r>
        <w:rPr>
          <w:rFonts w:hint="eastAsia" w:ascii="宋体" w:hAnsi="宋体" w:cs="宋体"/>
          <w:color w:val="auto"/>
          <w:highlight w:val="none"/>
        </w:rPr>
        <w:t>5、愿意向贵方提供任何与该项目竞标有关的数据、情况和技术资料。</w:t>
      </w:r>
    </w:p>
    <w:p>
      <w:pPr>
        <w:pStyle w:val="29"/>
        <w:ind w:firstLine="420"/>
        <w:rPr>
          <w:rFonts w:ascii="宋体" w:hAnsi="宋体" w:cs="宋体"/>
          <w:color w:val="auto"/>
          <w:highlight w:val="none"/>
        </w:rPr>
      </w:pPr>
      <w:r>
        <w:rPr>
          <w:rFonts w:hint="eastAsia" w:ascii="宋体" w:hAnsi="宋体" w:cs="宋体"/>
          <w:color w:val="auto"/>
          <w:highlight w:val="none"/>
        </w:rPr>
        <w:t>6、一旦我方中标，我方保证</w:t>
      </w:r>
      <w:r>
        <w:rPr>
          <w:rFonts w:hint="eastAsia" w:ascii="宋体" w:hAnsi="宋体" w:cs="宋体"/>
          <w:color w:val="auto"/>
          <w:highlight w:val="none"/>
          <w:lang w:val="en-US" w:eastAsia="zh-CN"/>
        </w:rPr>
        <w:t>按照采购合同或采购订单约定的时间按时、按质、按量完成工作</w:t>
      </w:r>
      <w:r>
        <w:rPr>
          <w:rFonts w:hint="eastAsia" w:ascii="宋体" w:hAnsi="宋体" w:cs="宋体"/>
          <w:color w:val="auto"/>
          <w:highlight w:val="none"/>
        </w:rPr>
        <w:t>，且质量标准符</w:t>
      </w:r>
      <w:r>
        <w:rPr>
          <w:rFonts w:hint="eastAsia" w:ascii="宋体" w:hAnsi="宋体" w:cs="宋体"/>
          <w:color w:val="auto"/>
          <w:highlight w:val="none"/>
          <w:u w:val="single"/>
        </w:rPr>
        <w:t>合法律法规的规定、相关行业标准、招标方需求及投标文件等文件中的最高要求</w:t>
      </w:r>
      <w:r>
        <w:rPr>
          <w:rFonts w:hint="eastAsia" w:ascii="宋体" w:hAnsi="宋体" w:cs="宋体"/>
          <w:color w:val="auto"/>
          <w:highlight w:val="none"/>
        </w:rPr>
        <w:t>。</w:t>
      </w:r>
    </w:p>
    <w:p>
      <w:pPr>
        <w:pStyle w:val="29"/>
        <w:ind w:firstLine="420"/>
        <w:outlineLvl w:val="1"/>
        <w:rPr>
          <w:rFonts w:hint="eastAsia" w:ascii="宋体" w:hAnsi="宋体" w:cs="宋体"/>
          <w:color w:val="auto"/>
          <w:highlight w:val="none"/>
        </w:rPr>
      </w:pPr>
      <w:r>
        <w:rPr>
          <w:rFonts w:hint="eastAsia" w:ascii="宋体" w:hAnsi="宋体" w:cs="宋体"/>
          <w:color w:val="auto"/>
          <w:highlight w:val="none"/>
        </w:rPr>
        <w:t>7、我方承诺对招标文件的全部偏差，均在投标文件的商务和技术偏离表中列明，除列明内容外，我方全部响应竞争性谈判文件的全部要求。</w:t>
      </w:r>
    </w:p>
    <w:p>
      <w:pPr>
        <w:pStyle w:val="29"/>
        <w:ind w:firstLine="420"/>
        <w:outlineLvl w:val="1"/>
        <w:rPr>
          <w:rFonts w:ascii="宋体" w:hAnsi="宋体" w:cs="宋体"/>
          <w:color w:val="auto"/>
          <w:highlight w:val="none"/>
        </w:rPr>
      </w:pPr>
      <w:r>
        <w:rPr>
          <w:rFonts w:hint="eastAsia" w:ascii="宋体" w:hAnsi="宋体" w:cs="宋体"/>
          <w:color w:val="auto"/>
          <w:highlight w:val="none"/>
          <w:lang w:val="en-US" w:eastAsia="zh-CN"/>
        </w:rPr>
        <w:t>8、</w:t>
      </w:r>
      <w:r>
        <w:rPr>
          <w:rFonts w:hint="eastAsia" w:ascii="宋体" w:hAnsi="宋体" w:cs="宋体"/>
          <w:color w:val="auto"/>
          <w:highlight w:val="none"/>
        </w:rPr>
        <w:t>无论中标与否，我方愿意承担竞标过程的所有费用。</w:t>
      </w:r>
    </w:p>
    <w:p>
      <w:pPr>
        <w:pStyle w:val="29"/>
        <w:ind w:firstLine="420"/>
        <w:rPr>
          <w:rFonts w:ascii="宋体" w:hAnsi="宋体" w:cs="宋体"/>
          <w:color w:val="auto"/>
          <w:highlight w:val="none"/>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、我方同意所递交的投标文件在《投标人须知附表》规定的投标有效期内有效。</w:t>
      </w:r>
    </w:p>
    <w:p>
      <w:pPr>
        <w:pStyle w:val="29"/>
        <w:ind w:firstLine="420"/>
        <w:rPr>
          <w:rFonts w:ascii="宋体" w:hAnsi="宋体" w:cs="宋体"/>
          <w:color w:val="auto"/>
          <w:highlight w:val="none"/>
        </w:rPr>
      </w:pPr>
      <w:r>
        <w:rPr>
          <w:rFonts w:hint="eastAsia" w:ascii="宋体" w:hAnsi="宋体" w:cs="宋体"/>
          <w:color w:val="auto"/>
          <w:highlight w:val="none"/>
        </w:rPr>
        <w:t>9、</w:t>
      </w:r>
      <w:r>
        <w:rPr>
          <w:rFonts w:hint="eastAsia" w:ascii="宋体" w:hAnsi="宋体" w:cs="宋体"/>
          <w:color w:val="auto"/>
          <w:highlight w:val="none"/>
          <w:u w:val="single"/>
        </w:rPr>
        <w:t xml:space="preserve">          </w:t>
      </w:r>
      <w:r>
        <w:rPr>
          <w:rFonts w:hint="eastAsia" w:ascii="宋体" w:hAnsi="宋体" w:cs="宋体"/>
          <w:color w:val="auto"/>
          <w:highlight w:val="none"/>
        </w:rPr>
        <w:t>（其他补充说明）。</w:t>
      </w: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5040" w:firstLineChars="2400"/>
        <w:rPr>
          <w:rFonts w:ascii="宋体" w:hAnsi="宋体" w:cs="宋体"/>
          <w:color w:val="auto"/>
          <w:highlight w:val="none"/>
        </w:rPr>
      </w:pPr>
      <w:r>
        <w:rPr>
          <w:rFonts w:hint="eastAsia" w:ascii="宋体" w:hAnsi="宋体" w:cs="宋体"/>
          <w:color w:val="auto"/>
          <w:highlight w:val="none"/>
        </w:rPr>
        <w:t>法定代表人：（签字或盖章）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授权代表人：（签字或盖章）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竞标单位：（单位公章）</w:t>
      </w:r>
    </w:p>
    <w:p>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附件2</w:t>
      </w:r>
    </w:p>
    <w:p>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27" w:name="_Toc115362489"/>
      <w:bookmarkStart w:id="28" w:name="_Toc115362805"/>
      <w:bookmarkStart w:id="29" w:name="_Toc115424831"/>
      <w:bookmarkStart w:id="30" w:name="_Toc115362586"/>
      <w:r>
        <w:rPr>
          <w:rStyle w:val="23"/>
          <w:rFonts w:hint="eastAsia" w:ascii="宋体" w:hAnsi="宋体" w:cs="宋体"/>
          <w:color w:val="auto"/>
          <w:highlight w:val="none"/>
        </w:rPr>
        <w:t>竞标人声明</w:t>
      </w:r>
      <w:bookmarkEnd w:id="27"/>
      <w:bookmarkEnd w:id="28"/>
      <w:bookmarkEnd w:id="29"/>
      <w:bookmarkEnd w:id="30"/>
      <w:r>
        <w:rPr>
          <w:rStyle w:val="23"/>
          <w:rFonts w:hint="eastAsia" w:ascii="宋体" w:hAnsi="宋体" w:cs="宋体"/>
          <w:color w:val="auto"/>
          <w:highlight w:val="none"/>
        </w:rPr>
        <w:fldChar w:fldCharType="end"/>
      </w:r>
    </w:p>
    <w:p>
      <w:pPr>
        <w:pStyle w:val="29"/>
        <w:ind w:firstLine="0" w:firstLineChars="0"/>
        <w:rPr>
          <w:rFonts w:ascii="宋体" w:hAnsi="宋体" w:cs="宋体"/>
          <w:color w:val="auto"/>
          <w:highlight w:val="none"/>
        </w:rPr>
      </w:pPr>
    </w:p>
    <w:p>
      <w:pPr>
        <w:pStyle w:val="29"/>
        <w:ind w:firstLine="6930" w:firstLineChars="330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lang w:eastAsia="zh-CN"/>
        </w:rPr>
        <w:t>：</w:t>
      </w:r>
      <w:r>
        <w:rPr>
          <w:rFonts w:hint="eastAsia" w:ascii="宋体" w:hAnsi="宋体" w:cs="宋体"/>
          <w:color w:val="auto"/>
          <w:highlight w:val="none"/>
          <w:u w:val="single"/>
          <w:lang w:eastAsia="zh-CN"/>
        </w:rPr>
        <w:t>【】</w:t>
      </w:r>
      <w:r>
        <w:rPr>
          <w:rFonts w:hint="eastAsia" w:ascii="宋体" w:hAnsi="宋体" w:cs="宋体"/>
          <w:color w:val="auto"/>
          <w:highlight w:val="none"/>
          <w:u w:val="single"/>
        </w:rPr>
        <w:t xml:space="preserve">     </w:t>
      </w:r>
    </w:p>
    <w:p>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pPr>
        <w:pStyle w:val="29"/>
        <w:ind w:firstLine="420"/>
        <w:rPr>
          <w:rFonts w:ascii="宋体" w:hAnsi="宋体" w:cs="宋体"/>
          <w:color w:val="auto"/>
          <w:highlight w:val="none"/>
        </w:rPr>
      </w:pPr>
      <w:r>
        <w:rPr>
          <w:rFonts w:hint="eastAsia" w:ascii="宋体" w:hAnsi="宋体" w:cs="宋体"/>
          <w:color w:val="auto"/>
          <w:highlight w:val="none"/>
        </w:rPr>
        <w:t>我公司愿意针对本招标项目进行竞标。竞标文件中所有关于竞标人资格的文件、证明、陈述均是真实的、准确的、有效的。若有违背，我公司愿意承担由此而产生的一切后果。</w:t>
      </w:r>
    </w:p>
    <w:p>
      <w:pPr>
        <w:pStyle w:val="29"/>
        <w:ind w:firstLine="420"/>
        <w:rPr>
          <w:rFonts w:ascii="宋体" w:hAnsi="宋体" w:cs="宋体"/>
          <w:color w:val="auto"/>
          <w:highlight w:val="none"/>
        </w:rPr>
      </w:pPr>
      <w:r>
        <w:rPr>
          <w:rFonts w:hint="eastAsia" w:ascii="宋体" w:hAnsi="宋体" w:cs="宋体"/>
          <w:color w:val="auto"/>
          <w:highlight w:val="none"/>
        </w:rPr>
        <w:t>我公司与眉山琏升光伏科技有限公司、天津三五互联移动通讯有限公司、</w:t>
      </w:r>
      <w:r>
        <w:rPr>
          <w:rFonts w:hint="eastAsia" w:ascii="宋体" w:hAnsi="宋体" w:cs="宋体"/>
          <w:color w:val="auto"/>
          <w:highlight w:val="none"/>
          <w:lang w:val="en-US" w:eastAsia="zh-CN"/>
        </w:rPr>
        <w:t>琏升</w:t>
      </w:r>
      <w:r>
        <w:rPr>
          <w:rFonts w:hint="eastAsia" w:ascii="宋体" w:hAnsi="宋体" w:cs="宋体"/>
          <w:color w:val="auto"/>
          <w:highlight w:val="none"/>
        </w:rPr>
        <w:t>科技股份有限公司，以及前述三家公司之实际控制人、股东、董事、监事、高级管理人员之间</w:t>
      </w:r>
      <w:r>
        <w:rPr>
          <w:rFonts w:hint="eastAsia" w:ascii="宋体" w:hAnsi="宋体" w:cs="宋体"/>
          <w:color w:val="auto"/>
          <w:highlight w:val="none"/>
        </w:rPr>
        <w:sym w:font="Wingdings 2" w:char="00A3"/>
      </w:r>
      <w:r>
        <w:rPr>
          <w:rFonts w:hint="eastAsia" w:ascii="宋体" w:hAnsi="宋体" w:cs="宋体"/>
          <w:color w:val="auto"/>
          <w:highlight w:val="none"/>
        </w:rPr>
        <w:t>是</w:t>
      </w:r>
      <w:r>
        <w:rPr>
          <w:rFonts w:hint="eastAsia" w:ascii="宋体" w:hAnsi="宋体" w:cs="宋体"/>
          <w:color w:val="auto"/>
          <w:highlight w:val="none"/>
        </w:rPr>
        <w:sym w:font="Wingdings 2" w:char="00A3"/>
      </w:r>
      <w:r>
        <w:rPr>
          <w:rFonts w:hint="eastAsia" w:ascii="宋体" w:hAnsi="宋体" w:cs="宋体"/>
          <w:color w:val="auto"/>
          <w:highlight w:val="none"/>
        </w:rPr>
        <w:t>否存在关联关系。如是，本公司作出如下说明：                          。</w:t>
      </w: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r>
        <w:rPr>
          <w:rFonts w:hint="eastAsia" w:ascii="宋体" w:hAnsi="宋体" w:cs="宋体"/>
          <w:color w:val="auto"/>
          <w:highlight w:val="none"/>
        </w:rPr>
        <w:t>特此声明！</w:t>
      </w: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420"/>
        <w:rPr>
          <w:rFonts w:ascii="宋体" w:hAnsi="宋体" w:cs="宋体"/>
          <w:color w:val="auto"/>
          <w:highlight w:val="none"/>
        </w:rPr>
      </w:pP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附件3</w:t>
      </w:r>
    </w:p>
    <w:p>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1" w:name="_Toc115362806"/>
      <w:bookmarkStart w:id="32" w:name="_Toc115424832"/>
      <w:bookmarkStart w:id="33" w:name="_Toc115362587"/>
      <w:bookmarkStart w:id="34" w:name="_Toc115362490"/>
      <w:r>
        <w:rPr>
          <w:rStyle w:val="23"/>
          <w:rFonts w:hint="eastAsia" w:ascii="宋体" w:hAnsi="宋体" w:cs="宋体"/>
          <w:color w:val="auto"/>
          <w:highlight w:val="none"/>
        </w:rPr>
        <w:t>法定代表人授权委托书</w:t>
      </w:r>
      <w:bookmarkEnd w:id="31"/>
      <w:bookmarkEnd w:id="32"/>
      <w:bookmarkEnd w:id="33"/>
      <w:bookmarkEnd w:id="34"/>
      <w:r>
        <w:rPr>
          <w:rStyle w:val="23"/>
          <w:rFonts w:hint="eastAsia" w:ascii="宋体" w:hAnsi="宋体" w:cs="宋体"/>
          <w:color w:val="auto"/>
          <w:highlight w:val="none"/>
        </w:rPr>
        <w:fldChar w:fldCharType="end"/>
      </w:r>
    </w:p>
    <w:p>
      <w:pPr>
        <w:pStyle w:val="29"/>
        <w:ind w:firstLine="420"/>
        <w:rPr>
          <w:rFonts w:ascii="宋体" w:hAnsi="宋体" w:cs="宋体"/>
          <w:color w:val="auto"/>
          <w:highlight w:val="none"/>
        </w:rPr>
      </w:pPr>
    </w:p>
    <w:p>
      <w:pPr>
        <w:pStyle w:val="29"/>
        <w:ind w:firstLine="0" w:firstLineChars="0"/>
        <w:rPr>
          <w:rFonts w:ascii="宋体" w:hAnsi="宋体" w:cs="宋体"/>
          <w:color w:val="auto"/>
          <w:highlight w:val="none"/>
        </w:rPr>
      </w:pPr>
      <w:r>
        <w:rPr>
          <w:rFonts w:hint="eastAsia" w:ascii="宋体" w:hAnsi="宋体" w:cs="宋体"/>
          <w:color w:val="auto"/>
          <w:highlight w:val="none"/>
        </w:rPr>
        <w:t>眉山琏升光伏科技有限公司：</w:t>
      </w:r>
    </w:p>
    <w:p>
      <w:pPr>
        <w:pStyle w:val="29"/>
        <w:ind w:firstLine="420"/>
        <w:rPr>
          <w:rFonts w:ascii="宋体" w:hAnsi="宋体" w:cs="宋体"/>
          <w:color w:val="auto"/>
          <w:highlight w:val="none"/>
        </w:rPr>
      </w:pPr>
      <w:r>
        <w:rPr>
          <w:rFonts w:hint="eastAsia" w:ascii="宋体" w:hAnsi="宋体" w:cs="宋体"/>
          <w:color w:val="auto"/>
          <w:highlight w:val="none"/>
        </w:rPr>
        <w:t>（竞标单位全称）法定代表人</w:t>
      </w:r>
      <w:r>
        <w:rPr>
          <w:rFonts w:hint="eastAsia" w:ascii="宋体" w:hAnsi="宋体" w:cs="宋体"/>
          <w:color w:val="auto"/>
          <w:highlight w:val="none"/>
          <w:u w:val="single"/>
        </w:rPr>
        <w:t xml:space="preserve">        </w:t>
      </w:r>
      <w:r>
        <w:rPr>
          <w:rFonts w:hint="eastAsia" w:ascii="宋体" w:hAnsi="宋体" w:cs="宋体"/>
          <w:color w:val="auto"/>
          <w:highlight w:val="none"/>
        </w:rPr>
        <w:t>授权</w:t>
      </w:r>
      <w:r>
        <w:rPr>
          <w:rFonts w:hint="eastAsia" w:ascii="宋体" w:hAnsi="宋体" w:cs="宋体"/>
          <w:color w:val="auto"/>
          <w:highlight w:val="none"/>
          <w:u w:val="single"/>
        </w:rPr>
        <w:t xml:space="preserve">        </w:t>
      </w:r>
      <w:r>
        <w:rPr>
          <w:rFonts w:hint="eastAsia" w:ascii="宋体" w:hAnsi="宋体" w:cs="宋体"/>
          <w:color w:val="auto"/>
          <w:highlight w:val="none"/>
        </w:rPr>
        <w:t>（代表人姓名/身份证号及身份证复印件）为全权代表， 参加贵公司组织的</w:t>
      </w:r>
      <w:r>
        <w:rPr>
          <w:rFonts w:hint="eastAsia" w:ascii="宋体" w:hAnsi="宋体" w:cs="宋体"/>
          <w:color w:val="auto"/>
          <w:highlight w:val="none"/>
          <w:u w:val="single"/>
        </w:rPr>
        <w:t xml:space="preserve">        </w:t>
      </w:r>
      <w:r>
        <w:rPr>
          <w:rFonts w:hint="eastAsia" w:ascii="宋体" w:hAnsi="宋体" w:cs="宋体"/>
          <w:color w:val="auto"/>
          <w:highlight w:val="none"/>
        </w:rPr>
        <w:t>项目招标活动，全权（特别授权）处理招标活动中的一切事宜，并承担由此产生的一切法律责任。招标人不接受代理人转授委托。</w:t>
      </w:r>
    </w:p>
    <w:p>
      <w:pPr>
        <w:pStyle w:val="29"/>
        <w:ind w:firstLine="420"/>
        <w:rPr>
          <w:rFonts w:ascii="宋体" w:hAnsi="宋体" w:cs="宋体"/>
          <w:color w:val="auto"/>
          <w:highlight w:val="none"/>
        </w:rPr>
      </w:pPr>
      <w:r>
        <w:rPr>
          <w:rFonts w:hint="eastAsia" w:ascii="宋体" w:hAnsi="宋体" w:cs="宋体"/>
          <w:color w:val="auto"/>
          <w:highlight w:val="none"/>
        </w:rPr>
        <w:t>法定代表人身份证复印件：</w:t>
      </w:r>
    </w:p>
    <w:tbl>
      <w:tblPr>
        <w:tblStyle w:val="20"/>
        <w:tblW w:w="4986" w:type="pct"/>
        <w:tblInd w:w="0" w:type="dxa"/>
        <w:tblLayout w:type="autofit"/>
        <w:tblCellMar>
          <w:top w:w="0" w:type="dxa"/>
          <w:left w:w="108" w:type="dxa"/>
          <w:bottom w:w="0" w:type="dxa"/>
          <w:right w:w="108" w:type="dxa"/>
        </w:tblCellMar>
      </w:tblPr>
      <w:tblGrid>
        <w:gridCol w:w="4983"/>
        <w:gridCol w:w="4986"/>
      </w:tblGrid>
      <w:tr>
        <w:tblPrEx>
          <w:tblCellMar>
            <w:top w:w="0" w:type="dxa"/>
            <w:left w:w="108" w:type="dxa"/>
            <w:bottom w:w="0" w:type="dxa"/>
            <w:right w:w="108" w:type="dxa"/>
          </w:tblCellMar>
        </w:tblPrEx>
        <w:trPr>
          <w:trHeight w:val="2670" w:hRule="atLeast"/>
        </w:trPr>
        <w:tc>
          <w:tcPr>
            <w:tcW w:w="2499"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2500" w:type="pct"/>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420"/>
        <w:rPr>
          <w:rFonts w:ascii="宋体" w:hAnsi="宋体" w:cs="宋体"/>
          <w:color w:val="auto"/>
          <w:highlight w:val="none"/>
        </w:rPr>
      </w:pPr>
      <w:r>
        <w:rPr>
          <w:rFonts w:hint="eastAsia" w:ascii="宋体" w:hAnsi="宋体" w:cs="宋体"/>
          <w:color w:val="auto"/>
          <w:highlight w:val="none"/>
        </w:rPr>
        <w:t>授权代表身份证复印件：</w:t>
      </w:r>
    </w:p>
    <w:tbl>
      <w:tblPr>
        <w:tblStyle w:val="20"/>
        <w:tblW w:w="0" w:type="auto"/>
        <w:tblInd w:w="0" w:type="dxa"/>
        <w:tblLayout w:type="autofit"/>
        <w:tblCellMar>
          <w:top w:w="0" w:type="dxa"/>
          <w:left w:w="108" w:type="dxa"/>
          <w:bottom w:w="0" w:type="dxa"/>
          <w:right w:w="108" w:type="dxa"/>
        </w:tblCellMar>
      </w:tblPr>
      <w:tblGrid>
        <w:gridCol w:w="4230"/>
        <w:gridCol w:w="4230"/>
      </w:tblGrid>
      <w:tr>
        <w:tblPrEx>
          <w:tblCellMar>
            <w:top w:w="0" w:type="dxa"/>
            <w:left w:w="108" w:type="dxa"/>
            <w:bottom w:w="0" w:type="dxa"/>
            <w:right w:w="108" w:type="dxa"/>
          </w:tblCellMar>
        </w:tblPrEx>
        <w:trPr>
          <w:trHeight w:val="3443" w:hRule="atLeast"/>
        </w:trPr>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正面</w:t>
            </w:r>
          </w:p>
        </w:tc>
        <w:tc>
          <w:tcPr>
            <w:tcW w:w="4230" w:type="dxa"/>
          </w:tcPr>
          <w:p>
            <w:pPr>
              <w:pStyle w:val="29"/>
              <w:widowControl w:val="0"/>
              <w:ind w:firstLine="420"/>
              <w:jc w:val="both"/>
              <w:rPr>
                <w:rFonts w:ascii="宋体" w:hAnsi="宋体" w:cs="宋体"/>
                <w:color w:val="auto"/>
                <w:highlight w:val="none"/>
              </w:rPr>
            </w:pPr>
            <w:r>
              <w:rPr>
                <w:rFonts w:hint="eastAsia" w:ascii="宋体" w:hAnsi="宋体" w:cs="宋体"/>
                <w:color w:val="auto"/>
                <w:highlight w:val="none"/>
              </w:rPr>
              <w:t>反面</w:t>
            </w:r>
          </w:p>
        </w:tc>
      </w:tr>
    </w:tbl>
    <w:p>
      <w:pPr>
        <w:pStyle w:val="29"/>
        <w:ind w:firstLine="0" w:firstLineChars="0"/>
        <w:rPr>
          <w:rFonts w:ascii="宋体" w:hAnsi="宋体" w:cs="宋体"/>
          <w:color w:val="auto"/>
          <w:highlight w:val="none"/>
        </w:rPr>
      </w:pP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竞标单位法定代表人（签字或盖章）: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附件4</w:t>
      </w:r>
    </w:p>
    <w:p>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5" w:name="_Toc115362491"/>
      <w:bookmarkStart w:id="36" w:name="_Toc115424833"/>
      <w:bookmarkStart w:id="37" w:name="_Toc115362807"/>
      <w:bookmarkStart w:id="38" w:name="_Toc115362588"/>
      <w:r>
        <w:rPr>
          <w:rStyle w:val="23"/>
          <w:rFonts w:hint="eastAsia" w:ascii="宋体" w:hAnsi="宋体" w:cs="宋体"/>
          <w:color w:val="auto"/>
          <w:highlight w:val="none"/>
        </w:rPr>
        <w:t>竞标人承诺函</w:t>
      </w:r>
      <w:bookmarkEnd w:id="35"/>
      <w:bookmarkEnd w:id="36"/>
      <w:bookmarkEnd w:id="37"/>
      <w:bookmarkEnd w:id="38"/>
      <w:r>
        <w:rPr>
          <w:rStyle w:val="23"/>
          <w:rFonts w:hint="eastAsia" w:ascii="宋体" w:hAnsi="宋体" w:cs="宋体"/>
          <w:color w:val="auto"/>
          <w:highlight w:val="none"/>
        </w:rPr>
        <w:fldChar w:fldCharType="end"/>
      </w:r>
    </w:p>
    <w:p>
      <w:pPr>
        <w:pStyle w:val="29"/>
        <w:ind w:firstLine="0" w:firstLineChars="0"/>
        <w:rPr>
          <w:rFonts w:hint="eastAsia" w:ascii="宋体" w:hAnsi="宋体" w:cs="宋体"/>
          <w:color w:val="auto"/>
          <w:highlight w:val="none"/>
        </w:rPr>
      </w:pPr>
    </w:p>
    <w:p>
      <w:pPr>
        <w:pStyle w:val="29"/>
        <w:ind w:firstLine="420" w:firstLineChars="200"/>
        <w:rPr>
          <w:rFonts w:ascii="宋体" w:hAnsi="宋体" w:cs="宋体"/>
          <w:color w:val="auto"/>
          <w:highlight w:val="none"/>
        </w:rPr>
      </w:pPr>
      <w:r>
        <w:rPr>
          <w:rFonts w:hint="eastAsia" w:ascii="宋体" w:hAnsi="宋体" w:cs="宋体"/>
          <w:color w:val="auto"/>
          <w:highlight w:val="none"/>
        </w:rPr>
        <w:t>眉山琏升光伏科技有限公司：</w:t>
      </w:r>
    </w:p>
    <w:p>
      <w:pPr>
        <w:pStyle w:val="29"/>
        <w:ind w:firstLine="420"/>
        <w:rPr>
          <w:rFonts w:ascii="宋体" w:hAnsi="宋体" w:cs="宋体"/>
          <w:color w:val="auto"/>
          <w:highlight w:val="none"/>
        </w:rPr>
      </w:pPr>
      <w:r>
        <w:rPr>
          <w:rFonts w:hint="eastAsia" w:ascii="宋体" w:hAnsi="宋体" w:cs="宋体"/>
          <w:color w:val="auto"/>
          <w:highlight w:val="none"/>
        </w:rPr>
        <w:t>项目名称：</w:t>
      </w:r>
      <w:r>
        <w:rPr>
          <w:rFonts w:hint="eastAsia" w:ascii="宋体" w:hAnsi="宋体" w:cs="宋体"/>
          <w:color w:val="auto"/>
          <w:highlight w:val="none"/>
          <w:u w:val="single"/>
        </w:rPr>
        <w:t xml:space="preserve">                </w:t>
      </w:r>
      <w:r>
        <w:rPr>
          <w:rFonts w:hint="eastAsia" w:ascii="宋体" w:hAnsi="宋体" w:cs="宋体"/>
          <w:color w:val="auto"/>
          <w:highlight w:val="none"/>
          <w:u w:val="single"/>
          <w:lang w:eastAsia="zh-CN"/>
        </w:rPr>
        <w:t>，</w:t>
      </w:r>
      <w:r>
        <w:rPr>
          <w:rFonts w:hint="eastAsia" w:ascii="宋体" w:hAnsi="宋体" w:cs="宋体"/>
          <w:color w:val="auto"/>
          <w:highlight w:val="none"/>
        </w:rPr>
        <w:t>我代表（竞标单位名称），在此做出如下承诺：</w:t>
      </w:r>
    </w:p>
    <w:p>
      <w:pPr>
        <w:pStyle w:val="29"/>
        <w:ind w:firstLine="420"/>
        <w:outlineLvl w:val="1"/>
        <w:rPr>
          <w:rFonts w:ascii="宋体" w:hAnsi="宋体" w:cs="宋体"/>
          <w:color w:val="auto"/>
          <w:highlight w:val="none"/>
        </w:rPr>
      </w:pPr>
      <w:r>
        <w:rPr>
          <w:rFonts w:hint="eastAsia" w:ascii="宋体" w:hAnsi="宋体" w:cs="宋体"/>
          <w:color w:val="auto"/>
          <w:highlight w:val="none"/>
        </w:rPr>
        <w:t>1、完全理解和接受招标文件的一切规定和要求。</w:t>
      </w:r>
    </w:p>
    <w:p>
      <w:pPr>
        <w:pStyle w:val="29"/>
        <w:ind w:firstLine="420"/>
        <w:rPr>
          <w:rFonts w:ascii="宋体" w:hAnsi="宋体" w:cs="宋体"/>
          <w:color w:val="auto"/>
          <w:highlight w:val="none"/>
        </w:rPr>
      </w:pPr>
      <w:r>
        <w:rPr>
          <w:rFonts w:hint="eastAsia" w:ascii="宋体" w:hAnsi="宋体" w:cs="宋体"/>
          <w:color w:val="auto"/>
          <w:highlight w:val="none"/>
        </w:rPr>
        <w:t>2、我方的竞标报价为固定价，并充分考虑了履行合同期市场等因素变化的风险。在无设备调整的情况下，竞标报价在竞标有效期和合同有效期内固定不变。</w:t>
      </w:r>
    </w:p>
    <w:p>
      <w:pPr>
        <w:pStyle w:val="29"/>
        <w:ind w:firstLine="420"/>
        <w:rPr>
          <w:rFonts w:ascii="宋体" w:hAnsi="宋体" w:cs="宋体"/>
          <w:color w:val="auto"/>
          <w:highlight w:val="none"/>
        </w:rPr>
      </w:pPr>
      <w:r>
        <w:rPr>
          <w:rFonts w:hint="eastAsia" w:ascii="宋体" w:hAnsi="宋体" w:cs="宋体"/>
          <w:color w:val="auto"/>
          <w:highlight w:val="none"/>
        </w:rPr>
        <w:t>3、若中标，我方将按照招标文件的具体规定与招标人签订合同，并且严格按合同规定向招标方履行合同义务，为招标方提供优质的</w:t>
      </w:r>
      <w:r>
        <w:rPr>
          <w:rFonts w:hint="eastAsia" w:ascii="宋体" w:hAnsi="宋体" w:cs="宋体"/>
          <w:color w:val="auto"/>
          <w:highlight w:val="none"/>
          <w:lang w:val="en-US" w:eastAsia="zh-CN"/>
        </w:rPr>
        <w:t>产品</w:t>
      </w:r>
      <w:r>
        <w:rPr>
          <w:rFonts w:hint="eastAsia" w:ascii="宋体" w:hAnsi="宋体" w:cs="宋体"/>
          <w:color w:val="auto"/>
          <w:highlight w:val="none"/>
        </w:rPr>
        <w:t>和服务，按要求</w:t>
      </w:r>
      <w:r>
        <w:rPr>
          <w:rFonts w:hint="eastAsia" w:ascii="宋体" w:hAnsi="宋体" w:cs="宋体"/>
          <w:color w:val="auto"/>
          <w:highlight w:val="none"/>
          <w:lang w:val="en-US" w:eastAsia="zh-CN"/>
        </w:rPr>
        <w:t>采购合同或采购订单要求时间按时、按质、按量交付产品并提供优质的售后服务</w:t>
      </w:r>
      <w:r>
        <w:rPr>
          <w:rFonts w:hint="eastAsia" w:ascii="宋体" w:hAnsi="宋体" w:cs="宋体"/>
          <w:color w:val="auto"/>
          <w:highlight w:val="none"/>
        </w:rPr>
        <w:t>。如果在合同执行过程中，发现</w:t>
      </w:r>
      <w:r>
        <w:rPr>
          <w:rFonts w:hint="eastAsia" w:ascii="宋体" w:hAnsi="宋体" w:cs="宋体"/>
          <w:color w:val="auto"/>
          <w:highlight w:val="none"/>
          <w:lang w:val="en-US" w:eastAsia="zh-CN"/>
        </w:rPr>
        <w:t>产品</w:t>
      </w:r>
      <w:r>
        <w:rPr>
          <w:rFonts w:hint="eastAsia" w:ascii="宋体" w:hAnsi="宋体" w:cs="宋体"/>
          <w:color w:val="auto"/>
          <w:highlight w:val="none"/>
        </w:rPr>
        <w:t>质量问题、有缺陷和技术资料有错误，或者由于供方技术人员指导错误和疏忽影响</w:t>
      </w:r>
      <w:r>
        <w:rPr>
          <w:rFonts w:hint="eastAsia" w:ascii="宋体" w:hAnsi="宋体" w:cs="宋体"/>
          <w:color w:val="auto"/>
          <w:highlight w:val="none"/>
          <w:lang w:val="en-US" w:eastAsia="zh-CN"/>
        </w:rPr>
        <w:t>招标人正常生产的</w:t>
      </w:r>
      <w:r>
        <w:rPr>
          <w:rFonts w:hint="eastAsia" w:ascii="宋体" w:hAnsi="宋体" w:cs="宋体"/>
          <w:color w:val="auto"/>
          <w:highlight w:val="none"/>
        </w:rPr>
        <w:t>，应立即无偿安排</w:t>
      </w:r>
      <w:r>
        <w:rPr>
          <w:rFonts w:hint="eastAsia" w:ascii="宋体" w:hAnsi="宋体" w:cs="宋体"/>
          <w:color w:val="auto"/>
          <w:highlight w:val="none"/>
          <w:lang w:val="en-US" w:eastAsia="zh-CN"/>
        </w:rPr>
        <w:t>退换</w:t>
      </w:r>
      <w:r>
        <w:rPr>
          <w:rFonts w:hint="eastAsia" w:ascii="宋体" w:hAnsi="宋体" w:cs="宋体"/>
          <w:color w:val="auto"/>
          <w:highlight w:val="none"/>
        </w:rPr>
        <w:t>。如给贵方造成</w:t>
      </w:r>
      <w:r>
        <w:rPr>
          <w:rFonts w:hint="eastAsia" w:ascii="宋体" w:hAnsi="宋体" w:cs="宋体"/>
          <w:color w:val="auto"/>
          <w:highlight w:val="none"/>
          <w:lang w:val="en-US" w:eastAsia="zh-CN"/>
        </w:rPr>
        <w:t>财产或人身</w:t>
      </w:r>
      <w:r>
        <w:rPr>
          <w:rFonts w:hint="eastAsia" w:ascii="宋体" w:hAnsi="宋体" w:cs="宋体"/>
          <w:color w:val="auto"/>
          <w:highlight w:val="none"/>
        </w:rPr>
        <w:t>损失，将全额赔偿。</w:t>
      </w:r>
    </w:p>
    <w:p>
      <w:pPr>
        <w:pStyle w:val="29"/>
        <w:ind w:firstLine="420"/>
        <w:rPr>
          <w:rFonts w:ascii="宋体" w:hAnsi="宋体" w:cs="宋体"/>
          <w:color w:val="auto"/>
          <w:highlight w:val="none"/>
        </w:rPr>
      </w:pPr>
      <w:r>
        <w:rPr>
          <w:rFonts w:hint="eastAsia" w:ascii="宋体" w:hAnsi="宋体" w:cs="宋体"/>
          <w:color w:val="auto"/>
          <w:highlight w:val="none"/>
        </w:rPr>
        <w:t>4、我方已经详细阅读了招标文件，包括澄清文件、修改（如果有）和所有供参考的资料以及有关附件，并清楚今后无权再对此提出理解不清或误解的问题。</w:t>
      </w:r>
    </w:p>
    <w:p>
      <w:pPr>
        <w:pStyle w:val="29"/>
        <w:ind w:firstLine="420"/>
        <w:rPr>
          <w:rFonts w:ascii="宋体" w:hAnsi="宋体" w:cs="宋体"/>
          <w:color w:val="auto"/>
          <w:highlight w:val="none"/>
        </w:rPr>
      </w:pPr>
      <w:r>
        <w:rPr>
          <w:rFonts w:hint="eastAsia" w:ascii="宋体" w:hAnsi="宋体" w:cs="宋体"/>
          <w:color w:val="auto"/>
          <w:highlight w:val="none"/>
        </w:rPr>
        <w:t>5、在整个招、竞标过程中，我方若有违法违规违约行为，贵方可按法律法规、招标文件及其他约定处理，我方完全接受。</w:t>
      </w:r>
    </w:p>
    <w:p>
      <w:pPr>
        <w:pStyle w:val="29"/>
        <w:ind w:firstLine="420"/>
        <w:rPr>
          <w:rFonts w:ascii="宋体" w:hAnsi="宋体" w:cs="宋体"/>
          <w:color w:val="auto"/>
          <w:highlight w:val="none"/>
        </w:rPr>
      </w:pPr>
      <w:r>
        <w:rPr>
          <w:rFonts w:hint="eastAsia" w:ascii="宋体" w:hAnsi="宋体" w:cs="宋体"/>
          <w:color w:val="auto"/>
          <w:highlight w:val="none"/>
        </w:rPr>
        <w:t>6、我方保证所提供的</w:t>
      </w:r>
      <w:r>
        <w:rPr>
          <w:rFonts w:hint="eastAsia" w:ascii="宋体" w:hAnsi="宋体" w:cs="宋体"/>
          <w:color w:val="auto"/>
          <w:highlight w:val="none"/>
          <w:lang w:val="en-US" w:eastAsia="zh-CN"/>
        </w:rPr>
        <w:t>产品</w:t>
      </w:r>
      <w:r>
        <w:rPr>
          <w:rFonts w:hint="eastAsia" w:ascii="宋体" w:hAnsi="宋体" w:cs="宋体"/>
          <w:color w:val="auto"/>
          <w:highlight w:val="none"/>
        </w:rPr>
        <w:t>是全新的、先进的、成熟的、质量优良的，其</w:t>
      </w:r>
      <w:r>
        <w:rPr>
          <w:rFonts w:hint="eastAsia" w:ascii="宋体" w:hAnsi="宋体" w:cs="宋体"/>
          <w:color w:val="auto"/>
          <w:highlight w:val="none"/>
          <w:lang w:val="en-US" w:eastAsia="zh-CN"/>
        </w:rPr>
        <w:t>规格及技术参数</w:t>
      </w:r>
      <w:r>
        <w:rPr>
          <w:rFonts w:hint="eastAsia" w:ascii="宋体" w:hAnsi="宋体" w:cs="宋体"/>
          <w:color w:val="auto"/>
          <w:highlight w:val="none"/>
        </w:rPr>
        <w:t>均符合安全可靠、长期稳定、经济和易于</w:t>
      </w:r>
      <w:r>
        <w:rPr>
          <w:rFonts w:hint="eastAsia" w:ascii="宋体" w:hAnsi="宋体" w:cs="宋体"/>
          <w:color w:val="auto"/>
          <w:highlight w:val="none"/>
          <w:lang w:val="en-US" w:eastAsia="zh-CN"/>
        </w:rPr>
        <w:t>使用</w:t>
      </w:r>
      <w:r>
        <w:rPr>
          <w:rFonts w:hint="eastAsia" w:ascii="宋体" w:hAnsi="宋体" w:cs="宋体"/>
          <w:color w:val="auto"/>
          <w:highlight w:val="none"/>
        </w:rPr>
        <w:t>的要求。</w:t>
      </w:r>
    </w:p>
    <w:p>
      <w:pPr>
        <w:pStyle w:val="29"/>
        <w:ind w:firstLine="420"/>
        <w:rPr>
          <w:rFonts w:ascii="宋体" w:hAnsi="宋体" w:cs="宋体"/>
          <w:color w:val="auto"/>
          <w:highlight w:val="none"/>
        </w:rPr>
      </w:pPr>
      <w:r>
        <w:rPr>
          <w:rFonts w:hint="eastAsia" w:ascii="宋体" w:hAnsi="宋体" w:cs="宋体"/>
          <w:color w:val="auto"/>
          <w:highlight w:val="none"/>
        </w:rPr>
        <w:t>7、我方保证所交付的技术资料完整和内容正确，并能满足</w:t>
      </w:r>
      <w:r>
        <w:rPr>
          <w:rFonts w:hint="eastAsia" w:ascii="宋体" w:hAnsi="宋体" w:cs="宋体"/>
          <w:color w:val="auto"/>
          <w:highlight w:val="none"/>
          <w:lang w:val="en-US" w:eastAsia="zh-CN"/>
        </w:rPr>
        <w:t>采购产品的正常使用</w:t>
      </w:r>
      <w:r>
        <w:rPr>
          <w:rFonts w:hint="eastAsia" w:ascii="宋体" w:hAnsi="宋体" w:cs="宋体"/>
          <w:color w:val="auto"/>
          <w:highlight w:val="none"/>
        </w:rPr>
        <w:t>的要求，所提供的</w:t>
      </w:r>
      <w:r>
        <w:rPr>
          <w:rFonts w:hint="eastAsia" w:ascii="宋体" w:hAnsi="宋体" w:cs="宋体"/>
          <w:color w:val="auto"/>
          <w:highlight w:val="none"/>
          <w:lang w:val="en-US" w:eastAsia="zh-CN"/>
        </w:rPr>
        <w:t>产品性能及</w:t>
      </w:r>
      <w:r>
        <w:rPr>
          <w:rFonts w:hint="eastAsia" w:ascii="宋体" w:hAnsi="宋体" w:cs="宋体"/>
          <w:color w:val="auto"/>
          <w:highlight w:val="none"/>
        </w:rPr>
        <w:t>参数满足或超过招标文件中的技术要求，并且能够按照贵方的要求及时提供。</w:t>
      </w:r>
    </w:p>
    <w:p>
      <w:pPr>
        <w:pStyle w:val="29"/>
        <w:ind w:firstLine="420"/>
        <w:rPr>
          <w:rFonts w:ascii="宋体" w:hAnsi="宋体" w:cs="宋体"/>
          <w:color w:val="auto"/>
          <w:highlight w:val="none"/>
        </w:rPr>
      </w:pPr>
      <w:r>
        <w:rPr>
          <w:rFonts w:hint="eastAsia" w:ascii="宋体" w:hAnsi="宋体" w:cs="宋体"/>
          <w:color w:val="auto"/>
          <w:highlight w:val="none"/>
        </w:rPr>
        <w:t>8、竞标单位在参加本次招标前已经对本项目进行充分的了解，也清楚的了解到本项目的重要性及紧迫性，因竞标单位原因（包括不限于违约行为）致使各个环节和时间节点（如：到货验收等）未能按时达成、</w:t>
      </w:r>
      <w:r>
        <w:rPr>
          <w:rFonts w:hint="eastAsia" w:ascii="宋体" w:hAnsi="宋体" w:cs="宋体"/>
          <w:color w:val="auto"/>
          <w:highlight w:val="none"/>
          <w:lang w:val="en-US" w:eastAsia="zh-CN"/>
        </w:rPr>
        <w:t>产品</w:t>
      </w:r>
      <w:r>
        <w:rPr>
          <w:rFonts w:hint="eastAsia" w:ascii="宋体" w:hAnsi="宋体" w:cs="宋体"/>
          <w:color w:val="auto"/>
          <w:highlight w:val="none"/>
        </w:rPr>
        <w:t>存在质量问题或验收时未发现而在使用中出现的质量问题等情况的出现都将给贵司造成巨大的损失。为此，各竞标单位在知悉前述情况下同意参标，并承诺若中标自愿承担因竞标单位原因（包括不限于违约行为）所导致的招标人的全部“合理损失”。本协议约定的“合理损失”合理损失包括不限于：</w:t>
      </w:r>
      <w:r>
        <w:rPr>
          <w:rFonts w:hint="eastAsia" w:ascii="宋体" w:hAnsi="宋体" w:cs="宋体"/>
          <w:color w:val="auto"/>
          <w:highlight w:val="none"/>
          <w:lang w:val="en-US" w:eastAsia="zh-CN"/>
        </w:rPr>
        <w:t>因产品质量问题给招标人设备或人员造成的损失，招标人为消除不利影响所产生的费用，招标人紧急向第三方采购的价差损失等及</w:t>
      </w:r>
      <w:r>
        <w:rPr>
          <w:rFonts w:hint="eastAsia" w:ascii="宋体" w:hAnsi="宋体" w:cs="宋体"/>
          <w:color w:val="auto"/>
          <w:highlight w:val="none"/>
        </w:rPr>
        <w:t>其他的“合理损失”。</w:t>
      </w:r>
    </w:p>
    <w:p>
      <w:pPr>
        <w:pStyle w:val="29"/>
        <w:ind w:firstLine="420"/>
        <w:outlineLvl w:val="1"/>
        <w:rPr>
          <w:rFonts w:ascii="宋体" w:hAnsi="宋体" w:cs="宋体"/>
          <w:color w:val="auto"/>
          <w:highlight w:val="none"/>
        </w:rPr>
      </w:pPr>
      <w:r>
        <w:rPr>
          <w:rFonts w:hint="eastAsia" w:ascii="宋体" w:hAnsi="宋体" w:cs="宋体"/>
          <w:color w:val="auto"/>
          <w:highlight w:val="none"/>
        </w:rPr>
        <w:t>9、其他承诺：</w:t>
      </w:r>
      <w:r>
        <w:rPr>
          <w:rFonts w:hint="eastAsia" w:ascii="宋体" w:hAnsi="宋体" w:cs="宋体"/>
          <w:color w:val="auto"/>
          <w:highlight w:val="none"/>
          <w:u w:val="single"/>
        </w:rPr>
        <w:t xml:space="preserve">                                             </w:t>
      </w:r>
      <w:r>
        <w:rPr>
          <w:rFonts w:hint="eastAsia" w:ascii="宋体" w:hAnsi="宋体" w:cs="宋体"/>
          <w:color w:val="auto"/>
          <w:highlight w:val="none"/>
        </w:rPr>
        <w:t>。（若无，请划斜线。）</w:t>
      </w:r>
    </w:p>
    <w:p>
      <w:pPr>
        <w:pStyle w:val="29"/>
        <w:ind w:firstLine="5040" w:firstLineChars="2400"/>
        <w:rPr>
          <w:rFonts w:hint="eastAsia" w:ascii="宋体" w:hAnsi="宋体" w:cs="宋体"/>
          <w:color w:val="auto"/>
          <w:highlight w:val="none"/>
        </w:rPr>
      </w:pP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outlineLvl w:val="2"/>
        <w:rPr>
          <w:rFonts w:ascii="宋体" w:hAnsi="宋体" w:cs="宋体"/>
          <w:color w:val="auto"/>
          <w:highlight w:val="none"/>
        </w:rPr>
      </w:pPr>
      <w:r>
        <w:rPr>
          <w:rFonts w:hint="eastAsia" w:ascii="宋体" w:hAnsi="宋体" w:cs="宋体"/>
          <w:color w:val="auto"/>
          <w:highlight w:val="none"/>
        </w:rPr>
        <w:t>附件5</w:t>
      </w:r>
    </w:p>
    <w:p>
      <w:pPr>
        <w:pStyle w:val="29"/>
        <w:ind w:firstLine="420"/>
        <w:jc w:val="center"/>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39" w:name="_Toc115424834"/>
      <w:bookmarkStart w:id="40" w:name="_Toc115362589"/>
      <w:bookmarkStart w:id="41" w:name="_Toc115362808"/>
      <w:bookmarkStart w:id="42" w:name="_Toc115362492"/>
      <w:r>
        <w:rPr>
          <w:rStyle w:val="23"/>
          <w:rFonts w:hint="eastAsia" w:ascii="宋体" w:hAnsi="宋体" w:cs="宋体"/>
          <w:color w:val="auto"/>
          <w:highlight w:val="none"/>
        </w:rPr>
        <w:t>开标一览表</w:t>
      </w:r>
      <w:bookmarkEnd w:id="39"/>
      <w:bookmarkEnd w:id="40"/>
      <w:bookmarkEnd w:id="41"/>
      <w:bookmarkEnd w:id="42"/>
      <w:r>
        <w:rPr>
          <w:rStyle w:val="23"/>
          <w:rFonts w:hint="eastAsia" w:ascii="宋体" w:hAnsi="宋体" w:cs="宋体"/>
          <w:color w:val="auto"/>
          <w:highlight w:val="none"/>
        </w:rPr>
        <w:fldChar w:fldCharType="end"/>
      </w:r>
    </w:p>
    <w:p>
      <w:pPr>
        <w:pStyle w:val="29"/>
        <w:ind w:firstLine="0" w:firstLineChars="0"/>
        <w:rPr>
          <w:rFonts w:ascii="宋体" w:hAnsi="宋体" w:cs="宋体"/>
          <w:color w:val="auto"/>
          <w:highlight w:val="none"/>
        </w:rPr>
      </w:pPr>
      <w:r>
        <w:rPr>
          <w:rFonts w:hint="eastAsia" w:ascii="宋体" w:hAnsi="宋体" w:cs="宋体"/>
          <w:color w:val="auto"/>
          <w:highlight w:val="none"/>
        </w:rPr>
        <w:t>竞标人名称：</w:t>
      </w:r>
    </w:p>
    <w:p>
      <w:pPr>
        <w:pStyle w:val="29"/>
        <w:ind w:firstLine="0" w:firstLineChars="0"/>
        <w:rPr>
          <w:rFonts w:ascii="宋体" w:hAnsi="宋体" w:cs="宋体"/>
          <w:color w:val="auto"/>
          <w:highlight w:val="none"/>
        </w:rPr>
      </w:pPr>
      <w:r>
        <w:rPr>
          <w:rFonts w:hint="eastAsia" w:ascii="宋体" w:hAnsi="宋体" w:cs="宋体"/>
          <w:color w:val="auto"/>
          <w:highlight w:val="none"/>
        </w:rPr>
        <w:t>项目名称：</w:t>
      </w:r>
    </w:p>
    <w:p>
      <w:pPr>
        <w:pStyle w:val="29"/>
        <w:ind w:firstLine="0" w:firstLineChars="0"/>
        <w:rPr>
          <w:rFonts w:ascii="宋体" w:hAnsi="宋体" w:cs="宋体"/>
          <w:color w:val="auto"/>
          <w:highlight w:val="none"/>
        </w:rPr>
      </w:pPr>
    </w:p>
    <w:tbl>
      <w:tblPr>
        <w:tblStyle w:val="20"/>
        <w:tblW w:w="4991" w:type="pct"/>
        <w:tblInd w:w="0" w:type="dxa"/>
        <w:tblLayout w:type="autofit"/>
        <w:tblCellMar>
          <w:top w:w="0" w:type="dxa"/>
          <w:left w:w="108" w:type="dxa"/>
          <w:bottom w:w="0" w:type="dxa"/>
          <w:right w:w="108" w:type="dxa"/>
        </w:tblCellMar>
      </w:tblPr>
      <w:tblGrid>
        <w:gridCol w:w="1463"/>
        <w:gridCol w:w="767"/>
        <w:gridCol w:w="809"/>
        <w:gridCol w:w="815"/>
        <w:gridCol w:w="825"/>
        <w:gridCol w:w="815"/>
        <w:gridCol w:w="815"/>
        <w:gridCol w:w="1056"/>
        <w:gridCol w:w="1222"/>
        <w:gridCol w:w="1392"/>
      </w:tblGrid>
      <w:tr>
        <w:tblPrEx>
          <w:tblCellMar>
            <w:top w:w="0" w:type="dxa"/>
            <w:left w:w="108" w:type="dxa"/>
            <w:bottom w:w="0" w:type="dxa"/>
            <w:right w:w="108" w:type="dxa"/>
          </w:tblCellMar>
        </w:tblPrEx>
        <w:trPr>
          <w:trHeight w:val="660" w:hRule="atLeast"/>
        </w:trPr>
        <w:tc>
          <w:tcPr>
            <w:tcW w:w="7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3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26"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竞标价格</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4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交货地点</w:t>
            </w:r>
          </w:p>
        </w:tc>
        <w:tc>
          <w:tcPr>
            <w:tcW w:w="5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交货期（天）</w:t>
            </w:r>
          </w:p>
        </w:tc>
        <w:tc>
          <w:tcPr>
            <w:tcW w:w="61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质保期（验收后）</w:t>
            </w:r>
          </w:p>
        </w:tc>
        <w:tc>
          <w:tcPr>
            <w:tcW w:w="697"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发票类型</w:t>
            </w:r>
          </w:p>
        </w:tc>
      </w:tr>
      <w:tr>
        <w:tblPrEx>
          <w:tblCellMar>
            <w:top w:w="0" w:type="dxa"/>
            <w:left w:w="108" w:type="dxa"/>
            <w:bottom w:w="0" w:type="dxa"/>
            <w:right w:w="108" w:type="dxa"/>
          </w:tblCellMar>
        </w:tblPrEx>
        <w:trPr>
          <w:trHeight w:val="750" w:hRule="atLeast"/>
        </w:trPr>
        <w:tc>
          <w:tcPr>
            <w:tcW w:w="733"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384"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4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币种</w:t>
            </w: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408"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529"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612" w:type="pct"/>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Cs w:val="21"/>
                <w:highlight w:val="none"/>
              </w:rPr>
            </w:pPr>
          </w:p>
        </w:tc>
        <w:tc>
          <w:tcPr>
            <w:tcW w:w="697" w:type="pct"/>
            <w:vMerge w:val="continue"/>
            <w:tcBorders>
              <w:top w:val="single" w:color="auto" w:sz="4" w:space="0"/>
              <w:left w:val="single" w:color="auto" w:sz="4" w:space="0"/>
              <w:bottom w:val="single" w:color="000000" w:sz="4" w:space="0"/>
              <w:right w:val="single" w:color="auto" w:sz="4" w:space="0"/>
            </w:tcBorders>
            <w:vAlign w:val="center"/>
          </w:tcPr>
          <w:p>
            <w:pPr>
              <w:rPr>
                <w:rFonts w:ascii="宋体" w:hAnsi="宋体" w:eastAsia="宋体" w:cs="宋体"/>
                <w:color w:val="auto"/>
                <w:szCs w:val="21"/>
                <w:highlight w:val="none"/>
              </w:rPr>
            </w:pPr>
          </w:p>
        </w:tc>
      </w:tr>
      <w:tr>
        <w:tblPrEx>
          <w:tblCellMar>
            <w:top w:w="0" w:type="dxa"/>
            <w:left w:w="108" w:type="dxa"/>
            <w:bottom w:w="0" w:type="dxa"/>
            <w:right w:w="108" w:type="dxa"/>
          </w:tblCellMar>
        </w:tblPrEx>
        <w:trPr>
          <w:trHeight w:val="2147" w:hRule="atLeast"/>
        </w:trPr>
        <w:tc>
          <w:tcPr>
            <w:tcW w:w="733" w:type="pct"/>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水处理药剂</w:t>
            </w:r>
          </w:p>
        </w:tc>
        <w:tc>
          <w:tcPr>
            <w:tcW w:w="384"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405"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4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408"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529"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612" w:type="pct"/>
            <w:tcBorders>
              <w:top w:val="nil"/>
              <w:left w:val="nil"/>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p>
        </w:tc>
        <w:tc>
          <w:tcPr>
            <w:tcW w:w="697" w:type="pc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国内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%增值税专票，先票后款</w:t>
            </w:r>
          </w:p>
        </w:tc>
      </w:tr>
    </w:tbl>
    <w:p>
      <w:pPr>
        <w:pStyle w:val="29"/>
        <w:ind w:firstLine="0" w:firstLineChars="0"/>
        <w:rPr>
          <w:rFonts w:ascii="宋体" w:hAnsi="宋体" w:cs="宋体"/>
          <w:color w:val="auto"/>
          <w:highlight w:val="none"/>
        </w:rPr>
      </w:pPr>
    </w:p>
    <w:p>
      <w:pPr>
        <w:pStyle w:val="29"/>
        <w:ind w:firstLine="0" w:firstLineChars="0"/>
        <w:rPr>
          <w:rFonts w:ascii="宋体" w:hAnsi="宋体" w:cs="宋体"/>
          <w:color w:val="auto"/>
          <w:highlight w:val="none"/>
        </w:rPr>
      </w:pPr>
      <w:r>
        <w:rPr>
          <w:rFonts w:hint="eastAsia" w:ascii="宋体" w:hAnsi="宋体" w:cs="宋体"/>
          <w:color w:val="auto"/>
          <w:highlight w:val="none"/>
        </w:rPr>
        <w:t>注：</w:t>
      </w:r>
    </w:p>
    <w:p>
      <w:pPr>
        <w:pStyle w:val="29"/>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）此表必须单独密封，以方便开标。</w:t>
      </w:r>
    </w:p>
    <w:p>
      <w:pPr>
        <w:pStyle w:val="29"/>
        <w:ind w:firstLine="420"/>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）报价单后附清单，</w:t>
      </w:r>
      <w:r>
        <w:rPr>
          <w:rFonts w:hint="eastAsia" w:ascii="宋体" w:hAnsi="宋体" w:cs="宋体"/>
          <w:color w:val="auto"/>
          <w:highlight w:val="none"/>
          <w:lang w:val="en-US" w:eastAsia="zh-CN"/>
        </w:rPr>
        <w:t>暂估用量</w:t>
      </w:r>
      <w:r>
        <w:rPr>
          <w:rFonts w:hint="eastAsia" w:ascii="宋体" w:hAnsi="宋体" w:cs="宋体"/>
          <w:color w:val="auto"/>
          <w:highlight w:val="none"/>
        </w:rPr>
        <w:t>清单详附件。</w:t>
      </w:r>
    </w:p>
    <w:p>
      <w:pPr>
        <w:pStyle w:val="29"/>
        <w:ind w:firstLine="420"/>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）开标一览表一正</w:t>
      </w:r>
      <w:r>
        <w:rPr>
          <w:rFonts w:hint="eastAsia" w:ascii="宋体" w:hAnsi="宋体" w:cs="宋体"/>
          <w:color w:val="auto"/>
          <w:highlight w:val="none"/>
          <w:lang w:val="en-US" w:eastAsia="zh-CN"/>
        </w:rPr>
        <w:t>五</w:t>
      </w:r>
      <w:r>
        <w:rPr>
          <w:rFonts w:hint="eastAsia" w:ascii="宋体" w:hAnsi="宋体" w:cs="宋体"/>
          <w:color w:val="auto"/>
          <w:highlight w:val="none"/>
        </w:rPr>
        <w:t>副。</w:t>
      </w:r>
    </w:p>
    <w:p>
      <w:pPr>
        <w:pStyle w:val="29"/>
        <w:ind w:firstLine="420"/>
        <w:rPr>
          <w:rFonts w:ascii="宋体" w:hAnsi="宋体" w:cs="宋体"/>
          <w:color w:val="auto"/>
          <w:highlight w:val="none"/>
        </w:rPr>
      </w:pP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竞标单位授权代表（签字或盖章）:</w:t>
      </w:r>
    </w:p>
    <w:p>
      <w:pPr>
        <w:pStyle w:val="29"/>
        <w:ind w:firstLine="5040" w:firstLineChars="2400"/>
        <w:rPr>
          <w:rFonts w:ascii="宋体" w:hAnsi="宋体" w:cs="宋体"/>
          <w:color w:val="auto"/>
          <w:highlight w:val="none"/>
        </w:rPr>
      </w:pPr>
      <w:r>
        <w:rPr>
          <w:rFonts w:hint="eastAsia" w:ascii="宋体" w:hAnsi="宋体" w:cs="宋体"/>
          <w:color w:val="auto"/>
          <w:highlight w:val="none"/>
        </w:rPr>
        <w:t>竞标单位（加盖公章）:</w:t>
      </w:r>
    </w:p>
    <w:p>
      <w:pPr>
        <w:pStyle w:val="29"/>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附件6</w:t>
      </w:r>
    </w:p>
    <w:p>
      <w:pPr>
        <w:pStyle w:val="29"/>
        <w:ind w:firstLine="3570" w:firstLineChars="1700"/>
        <w:jc w:val="both"/>
        <w:outlineLvl w:val="1"/>
        <w:rPr>
          <w:rFonts w:ascii="宋体" w:hAnsi="宋体" w:cs="宋体"/>
          <w:b/>
          <w:color w:val="auto"/>
          <w:highlight w:val="none"/>
        </w:rPr>
      </w:pPr>
      <w:r>
        <w:rPr>
          <w:color w:val="auto"/>
          <w:highlight w:val="none"/>
        </w:rPr>
        <w:fldChar w:fldCharType="begin"/>
      </w:r>
      <w:r>
        <w:rPr>
          <w:color w:val="auto"/>
          <w:highlight w:val="none"/>
        </w:rPr>
        <w:instrText xml:space="preserve"> HYPERLINK \l "目录" </w:instrText>
      </w:r>
      <w:r>
        <w:rPr>
          <w:color w:val="auto"/>
          <w:highlight w:val="none"/>
        </w:rPr>
        <w:fldChar w:fldCharType="separate"/>
      </w:r>
      <w:bookmarkStart w:id="43" w:name="_Toc115362809"/>
      <w:bookmarkStart w:id="44" w:name="_Toc115362590"/>
      <w:bookmarkStart w:id="45" w:name="_Toc115362493"/>
      <w:bookmarkStart w:id="46" w:name="_Toc115424835"/>
      <w:r>
        <w:rPr>
          <w:rStyle w:val="23"/>
          <w:rFonts w:hint="eastAsia" w:ascii="宋体" w:hAnsi="宋体" w:cs="宋体"/>
          <w:color w:val="auto"/>
          <w:highlight w:val="none"/>
        </w:rPr>
        <w:t>诚信合作与公平竞争承诺书</w:t>
      </w:r>
      <w:bookmarkEnd w:id="43"/>
      <w:bookmarkEnd w:id="44"/>
      <w:bookmarkEnd w:id="45"/>
      <w:bookmarkEnd w:id="46"/>
      <w:r>
        <w:rPr>
          <w:rStyle w:val="23"/>
          <w:rFonts w:hint="eastAsia" w:ascii="宋体" w:hAnsi="宋体" w:cs="宋体"/>
          <w:color w:val="auto"/>
          <w:highlight w:val="none"/>
        </w:rPr>
        <w:fldChar w:fldCharType="end"/>
      </w:r>
    </w:p>
    <w:p>
      <w:pPr>
        <w:pStyle w:val="29"/>
        <w:ind w:firstLine="0" w:firstLineChars="0"/>
        <w:rPr>
          <w:rFonts w:ascii="宋体" w:hAnsi="宋体" w:cs="宋体"/>
          <w:color w:val="auto"/>
          <w:highlight w:val="none"/>
        </w:rPr>
      </w:pPr>
      <w:r>
        <w:rPr>
          <w:rFonts w:hint="eastAsia" w:ascii="宋体" w:hAnsi="宋体" w:cs="宋体"/>
          <w:color w:val="auto"/>
          <w:highlight w:val="none"/>
        </w:rPr>
        <w:t>招标方：眉山琏升光伏科技有限公司：</w:t>
      </w:r>
    </w:p>
    <w:p>
      <w:pPr>
        <w:pStyle w:val="29"/>
        <w:spacing w:line="336" w:lineRule="auto"/>
        <w:ind w:firstLine="0" w:firstLineChars="0"/>
        <w:rPr>
          <w:rFonts w:ascii="宋体" w:hAnsi="宋体" w:cs="宋体"/>
          <w:color w:val="auto"/>
          <w:highlight w:val="none"/>
        </w:rPr>
      </w:pPr>
      <w:r>
        <w:rPr>
          <w:rFonts w:hint="eastAsia" w:ascii="宋体" w:hAnsi="宋体" w:cs="宋体"/>
          <w:color w:val="auto"/>
          <w:highlight w:val="none"/>
        </w:rPr>
        <w:t>竞标方：</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 xml:space="preserve">为共同创造诚实守信、廉洁自律的合作环境，杜绝和抵制各种商业腐败及有违公平竞争行为发生，经双方友好协商，达成本协议内容，以昭信守。 </w:t>
      </w:r>
    </w:p>
    <w:p>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竞标方承诺不与招标方工作人员或其亲属进行任何可能影响廉洁自律、公平竞争的行为，包括但不限于：1、向招标方工作人员或其亲属行贿或提供其他不正当利益（包括回扣、手续费、礼金、礼品、宴请、旅游、娱乐消费等）；2、让招标方工作人员或其亲属在竞标方报销或代其支付各种费用；3、让招标方工作人员或其亲属在竞标方借款；4、与招标方工作人员或其亲属合伙经商；5、为招标方工作人员或其亲属办理私事；6、其他可能影响廉洁自律、公平竞争的行为。如招标方工作人员或其亲属对竞标方提出以上要求或存在上述行为的，竞标方保证立即向招标方相关部门举报，举报邮箱：举报邮箱：</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"mailto:CS@leascend.com或ComplianceSupervision@leascend.com。" </w:instrText>
      </w:r>
      <w:r>
        <w:rPr>
          <w:rFonts w:hint="eastAsia" w:ascii="宋体" w:hAnsi="宋体" w:cs="宋体"/>
          <w:color w:val="auto"/>
          <w:highlight w:val="none"/>
        </w:rPr>
        <w:fldChar w:fldCharType="separate"/>
      </w:r>
      <w:r>
        <w:rPr>
          <w:rStyle w:val="23"/>
          <w:rFonts w:hint="eastAsia" w:ascii="宋体" w:hAnsi="宋体" w:cs="宋体"/>
          <w:color w:val="auto"/>
          <w:highlight w:val="none"/>
        </w:rPr>
        <w:t>CS@leascend.com或ComplianceSupervision@leascend.com。</w:t>
      </w:r>
      <w:r>
        <w:rPr>
          <w:rFonts w:hint="eastAsia" w:ascii="宋体" w:hAnsi="宋体" w:cs="宋体"/>
          <w:color w:val="auto"/>
          <w:highlight w:val="none"/>
        </w:rPr>
        <w:fldChar w:fldCharType="end"/>
      </w:r>
    </w:p>
    <w:p>
      <w:pPr>
        <w:pStyle w:val="29"/>
        <w:numPr>
          <w:ilvl w:val="0"/>
          <w:numId w:val="9"/>
        </w:numPr>
        <w:spacing w:line="336" w:lineRule="auto"/>
        <w:ind w:firstLine="420"/>
        <w:rPr>
          <w:rFonts w:ascii="宋体" w:hAnsi="宋体" w:cs="宋体"/>
          <w:color w:val="auto"/>
          <w:highlight w:val="none"/>
        </w:rPr>
      </w:pPr>
      <w:r>
        <w:rPr>
          <w:rFonts w:hint="eastAsia" w:ascii="宋体" w:hAnsi="宋体" w:cs="宋体"/>
          <w:color w:val="auto"/>
          <w:highlight w:val="none"/>
        </w:rPr>
        <w:t xml:space="preserve"> 竞标方承诺不与眉山琏升及其关联公司、下属机构现任、开除、辞退、辞职的人员直接或间接发生任何经济往来，或与以上人员合伙经商。如发现此类情况，竞标方保证立即告知招标方。</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第三条 竞标方一切人员进入招标方管理区域保证自觉遵守招标方的各项规章制度，包括但不限于：1、不在招标方管理区域内吸烟、喝酒、乱扔杂物等；2、不做任何损害或可能损害招标方合法利益的事情，自觉维护招标方的生产、经营活动有序进行；3、在与招标方合作过程中，如因竞标方原因在招标方管理区域内发生安全、环保等事故的，由竞标方自行承担责任，给招标方造成经济损失的，竞标方承担相应的赔偿责任；4、服从招标方的安排和管理。</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第四条 参与招标方项目竞标或其他各种形式合作时，竞标方承诺不发生以下行为：提供虚假材料谋取中标、成交；采取不正当手段诋毁、排挤其他竞标人；串通竞标；提供假冒、伪劣、掺杂掺假产品；提供虚假发票或不合规发票、虚开增值税专用发票及其他违反税法等相关法律法规之行为；拒绝接受调查或者提供虚假情况；将从招标方获取的任何信息泄露给他人或用于其他用途等。</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第五条 竞标方承诺具备与招标方签订和履行合同的合法主体资格或经营资质，签订合同时已获得必需的授权或批准，签订和履行合同未侵犯他人合法权益（如所有权、著作权、商标权、专利权等），合同履行标的或内容合法，不存在违反法律法规情形。竞标方保证亲自、独立履行与招标方合同中的全部权利义务，不会将任何权利义务转让、转包或分包给第三人。</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第六条 竞标方承诺严格遵守《劳动合同法》《劳动法》《社会保险法》等法律法规，依法与竞标方员工、雇佣人员或其他作业人员签订书面劳动合同、办理社会保险手续、及时足额发放劳动报酬等。如发生上述人员到招标方寻衅滋事，或者到有关部门上访投诉，或者向招标方索要劳动报酬，或者发生其他影响招标方正常生产经营秩序事件的，竞标方保证在事件发生后24小时内或招标方限定期限内派人到场并协调处理完毕，且竞标方承诺：自行负责积极、主动处理相关争议并承担相关费用；若事件紧急或政府相关部门要求等情形，招标方有权自行决定暂代竞标方予以妥善处理，竞标方认可招标方为解决上述事件而与相关人员达成的任何书面文件（如协议书、承诺书等）的效力及内容；该等文件项下相关费用及成本等,竞标方同意招标方从应付竞标方的各项应付款中直接扣除，无应付款予以抵扣的，竞标方应自招标方通知之日起5日内向招标方足额支付。</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第七条 竞标方承诺严格遵守《环境保护法》及其他环境保护政策与法规，并提高社会风险管理，保证在履行与招标方的合同过程中不造成环境污染事件，也不存在环境污染因素或隐患。否则，竞标方同意承担由此给招标方造成的全部损失与责任，包括但不限于罚款、停业损失、整改费用等。</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第八条 如竞标方违反本协议的任何约定或承诺即构成违约，竞标方同意按双方签订的业务合同总金额（或竞标方竞标报价总金额）的10%向招标方支付违约金（业务合同另有条款规定的，取其高者执行）。同时竞标方自愿接受招标方如下处理（包括但不限于）：取消竞标方中标资格；没收竞标保证金或履约保证金；解除或终止双方业务合同；对尚未支付竞标方的款项，招标方有权不予支付；赔偿招标方全部经济损失；涉嫌构成犯罪的，移送司法机关追究刑事责任。</w:t>
      </w:r>
    </w:p>
    <w:p>
      <w:pPr>
        <w:pStyle w:val="29"/>
        <w:spacing w:line="336" w:lineRule="auto"/>
        <w:ind w:firstLine="420"/>
        <w:rPr>
          <w:rFonts w:ascii="宋体" w:hAnsi="宋体" w:cs="宋体"/>
          <w:color w:val="auto"/>
          <w:highlight w:val="none"/>
        </w:rPr>
      </w:pPr>
      <w:r>
        <w:rPr>
          <w:rFonts w:hint="eastAsia" w:ascii="宋体" w:hAnsi="宋体" w:cs="宋体"/>
          <w:color w:val="auto"/>
          <w:highlight w:val="none"/>
        </w:rPr>
        <w:t>第九条 本协议内容系竞标方真实意思表示并自愿作出承诺，与双方签订的业务合同同具法律约束力。除本协议有明确约定外，业务合同与本协议约定不一致的，以业务合同的约定为准。</w:t>
      </w:r>
    </w:p>
    <w:p>
      <w:pPr>
        <w:pStyle w:val="29"/>
        <w:spacing w:line="336" w:lineRule="auto"/>
        <w:ind w:firstLine="420"/>
        <w:rPr>
          <w:rFonts w:ascii="宋体" w:hAnsi="宋体" w:cs="宋体"/>
          <w:color w:val="auto"/>
          <w:highlight w:val="none"/>
        </w:rPr>
      </w:pPr>
    </w:p>
    <w:p>
      <w:pPr>
        <w:pStyle w:val="29"/>
        <w:spacing w:line="336" w:lineRule="auto"/>
        <w:ind w:firstLine="420"/>
        <w:rPr>
          <w:rFonts w:ascii="宋体" w:hAnsi="宋体" w:cs="宋体"/>
          <w:color w:val="auto"/>
          <w:highlight w:val="none"/>
        </w:rPr>
      </w:pPr>
    </w:p>
    <w:p>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竞标方（签章）：</w:t>
      </w:r>
    </w:p>
    <w:p>
      <w:pPr>
        <w:pStyle w:val="29"/>
        <w:spacing w:line="336" w:lineRule="auto"/>
        <w:ind w:firstLine="5040" w:firstLineChars="2400"/>
        <w:rPr>
          <w:rFonts w:ascii="宋体" w:hAnsi="宋体" w:cs="宋体"/>
          <w:color w:val="auto"/>
          <w:highlight w:val="none"/>
        </w:rPr>
      </w:pPr>
      <w:r>
        <w:rPr>
          <w:rFonts w:hint="eastAsia" w:ascii="宋体" w:hAnsi="宋体" w:cs="宋体"/>
          <w:color w:val="auto"/>
          <w:highlight w:val="none"/>
        </w:rPr>
        <w:t>授权代表人（签字）：</w:t>
      </w:r>
    </w:p>
    <w:p>
      <w:pPr>
        <w:pStyle w:val="29"/>
        <w:spacing w:line="336" w:lineRule="auto"/>
        <w:ind w:firstLine="5040" w:firstLineChars="2400"/>
        <w:rPr>
          <w:rFonts w:hint="default" w:ascii="宋体" w:hAnsi="宋体" w:eastAsia="宋体" w:cs="宋体"/>
          <w:color w:val="auto"/>
          <w:highlight w:val="none"/>
          <w:lang w:val="en-US" w:eastAsia="zh-CN"/>
        </w:rPr>
      </w:pPr>
      <w:r>
        <w:rPr>
          <w:rFonts w:hint="eastAsia" w:ascii="宋体" w:hAnsi="宋体" w:cs="宋体"/>
          <w:color w:val="auto"/>
          <w:highlight w:val="none"/>
        </w:rPr>
        <w:t>日期：</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年【】月【】日</w:t>
      </w:r>
    </w:p>
    <w:p>
      <w:pPr>
        <w:rPr>
          <w:rFonts w:ascii="宋体" w:hAnsi="宋体" w:eastAsia="宋体" w:cs="宋体"/>
          <w:color w:val="auto"/>
          <w:highlight w:val="none"/>
        </w:rPr>
      </w:pPr>
      <w:r>
        <w:rPr>
          <w:rFonts w:hint="eastAsia" w:ascii="宋体" w:hAnsi="宋体" w:eastAsia="宋体" w:cs="宋体"/>
          <w:color w:val="auto"/>
          <w:highlight w:val="none"/>
        </w:rPr>
        <w:br w:type="page"/>
      </w:r>
    </w:p>
    <w:p>
      <w:pPr>
        <w:pStyle w:val="30"/>
        <w:ind w:firstLine="0" w:firstLineChars="0"/>
        <w:rPr>
          <w:rFonts w:ascii="宋体" w:hAnsi="宋体" w:cs="宋体"/>
          <w:color w:val="auto"/>
          <w:highlight w:val="none"/>
        </w:rPr>
      </w:pPr>
      <w:r>
        <w:rPr>
          <w:rFonts w:hint="eastAsia" w:ascii="宋体" w:hAnsi="宋体" w:cs="宋体"/>
          <w:color w:val="auto"/>
          <w:highlight w:val="none"/>
        </w:rPr>
        <w:t>附件7</w:t>
      </w:r>
    </w:p>
    <w:p>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眉山琏升光伏科技有限公司 XX项目</w:t>
      </w:r>
    </w:p>
    <w:p>
      <w:pPr>
        <w:spacing w:line="288"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保密协议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招标人：眉山琏升光伏科技有限公司</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联系方式：【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送达地址：【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联系方式：【                   】   </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 </w:t>
      </w:r>
    </w:p>
    <w:p>
      <w:pPr>
        <w:spacing w:before="156" w:beforeLines="50"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鉴于竞标人在参加招标人【       】项目的竞标工作过程中，招标人将向竞标人披露与招标人项目相关的信息（简称“保密信息”）。双方同意就保密信息的披露及保密签署本协议。</w:t>
      </w:r>
    </w:p>
    <w:p>
      <w:pPr>
        <w:pStyle w:val="19"/>
        <w:numPr>
          <w:ilvl w:val="0"/>
          <w:numId w:val="10"/>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保密信息的定义</w:t>
      </w:r>
    </w:p>
    <w:p>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指招标人以任何方式（包括书面后口头）向竞标人披露的所有信息，包括但不限于：基础图、建筑图、结构图、机电图以及设计的设备规格、数据、专有技术、成分、流程、草图、照片、样品、原型、概念、创意、先前、现时或规划中的研究和开发，先前、现时或规划中的方案和流程，有关当前或潜在客户的身份或其他信息、渗透数据及其他信息、方案和策略及其他工艺数据，或其他与招标人业务和/或产品有关的无形资产。</w:t>
      </w:r>
    </w:p>
    <w:p>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保密信息也包括任何含有或源于其他任何保密信息的材料、数据等，无论它是由招标人、竞标人或任何其他人员编制。</w:t>
      </w:r>
    </w:p>
    <w:p>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二、保密措施</w:t>
      </w:r>
    </w:p>
    <w:p>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在保密期间竞标人应对保密信息严格保密，未经招标人书面授权，不向除因本项目需要而需知悉该保密信息第三方披露、泄露、公开及传播。竞标人应当严格控制知悉保密信息的人员范围，通常知悉保密信息的相关人员仅限于竞标人直接参与该项目的高级管理人员、施工的工程师、技术人员，竞标人应告知知悉保密信息的上述人员本协议的内容以及要求其履行保密义务，并对上述人员的违反本协议的行为承担连带责任。</w:t>
      </w:r>
    </w:p>
    <w:p>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丢失招标人的保密信息或存储有保密信息的载体的，应立即书面通知招标人，并第一时间采取补救措施。竞标人承担一切因其丢失导致保密信息而给招标人带来的损失，包括但不限于保密信息公开给招标人造成的实际损失和预期利益损失，还包括招标人为补救信息丢失所产生的全部费用。</w:t>
      </w:r>
    </w:p>
    <w:p>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招标人提供的保密信息，仅可用于招标人与竞标人之间的交易与合作，未经招标人书面同意，竞标人不得作其他用途。</w:t>
      </w:r>
    </w:p>
    <w:p>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未经招标人书面同意不得擅自拷贝、复制保密信息，竞标人相关合同义务履行完毕后，应主动将记录有保密信息的载体及其复制品返还，不得擅自销毁或处理，如后续因竞标人违反本条款约定给招标人造成的损失竞标人应当赔偿。</w:t>
      </w:r>
    </w:p>
    <w:p>
      <w:pPr>
        <w:pStyle w:val="19"/>
        <w:numPr>
          <w:ilvl w:val="0"/>
          <w:numId w:val="11"/>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竞标人确认，招标人披露的任何保密信息并不意味着授予竞标人任何相关的许可, 也没有授予竞标人与保密信息的有关的专利权、版权及其他授予者现在或将来拥有或控制的权利，且招标人对其提供的保密信息的准确性、完整性、充分性、商用性、特定目的适用性等未做任何明示、默示的保证，也不承担任何保证责任。</w:t>
      </w:r>
    </w:p>
    <w:p>
      <w:pPr>
        <w:pStyle w:val="19"/>
        <w:numPr>
          <w:ilvl w:val="255"/>
          <w:numId w:val="0"/>
        </w:numPr>
        <w:spacing w:beforeAutospacing="0" w:afterAutospacing="0" w:line="360" w:lineRule="auto"/>
        <w:ind w:firstLine="420" w:firstLineChars="200"/>
        <w:jc w:val="both"/>
        <w:outlineLvl w:val="2"/>
        <w:rPr>
          <w:rFonts w:cs="宋体"/>
          <w:color w:val="auto"/>
          <w:kern w:val="2"/>
          <w:sz w:val="21"/>
          <w:szCs w:val="22"/>
          <w:highlight w:val="none"/>
        </w:rPr>
      </w:pPr>
      <w:r>
        <w:rPr>
          <w:rFonts w:hint="eastAsia" w:cs="宋体"/>
          <w:color w:val="auto"/>
          <w:kern w:val="2"/>
          <w:sz w:val="21"/>
          <w:szCs w:val="22"/>
          <w:highlight w:val="none"/>
        </w:rPr>
        <w:t>三、违约责任</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1.若竞标人能履行其在本协议项下的部分或全部义务或责任，其应被视为违反了本协议，并应对招标人所遭受或引致的损失承担赔偿责任。</w:t>
      </w:r>
    </w:p>
    <w:p>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若招标人及招标人人员违反本协议约定义务，无论故意或过失，应当立即停止侵害，并及时采取一切必要措施防止保密信息的扩散，尽最大可能消除影响或减少损失，违约金不足以弥补招标人遭受的损失（包括直接损失及预期利益损失）的，竞标人应当予以补足。</w:t>
      </w:r>
    </w:p>
    <w:p>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竞标人（其关联人员及关联方的违约行为等同竞标人的违约行为）违反本协议约定的保密义务，而导致招标人（其关联方的权益损失等同招标人的权益损失）的权益受到损害，竞标人应按照竞标人的第一次（首次）竞标报价的30%计算。同时，若竞标人在招标项目定标前违反本协议，或定标后未中标的竞标人违反本协议，竞标人除支付违约金外，招标人有取消其本次竞标及后续全部的竞标资格并没收竞标保证金；若定标后，中标的竞标人违反本协议，招标人有权立即解除双方的全部项目协议及合同，相应损失由竞标人全部承担，竞标保证金不予退还。</w:t>
      </w:r>
    </w:p>
    <w:p>
      <w:pPr>
        <w:pStyle w:val="19"/>
        <w:numPr>
          <w:ilvl w:val="0"/>
          <w:numId w:val="12"/>
        </w:numPr>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招标人对竞标人违约行为的同意或对本协议任何条款或权利的放弃，应以书面形式作出，且仅适用于该等放弃或同意中所明确的特定条款或权利。除前述已作出的同意和放弃外，招标人未行使或迟延行使其在本协议项下的任何权利或救济不构成弃权；部分行使权利或救济亦不应阻碍其行使其他权利或救济。</w:t>
      </w:r>
    </w:p>
    <w:p>
      <w:pPr>
        <w:pStyle w:val="19"/>
        <w:numPr>
          <w:ilvl w:val="0"/>
          <w:numId w:val="13"/>
        </w:numPr>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争议解决</w:t>
      </w:r>
    </w:p>
    <w:p>
      <w:pPr>
        <w:pStyle w:val="19"/>
        <w:numPr>
          <w:ilvl w:val="255"/>
          <w:numId w:val="0"/>
        </w:numPr>
        <w:spacing w:beforeAutospacing="0" w:afterAutospacing="0" w:line="360" w:lineRule="auto"/>
        <w:ind w:firstLine="420" w:firstLineChars="200"/>
        <w:jc w:val="both"/>
        <w:rPr>
          <w:rFonts w:cs="宋体"/>
          <w:color w:val="auto"/>
          <w:kern w:val="2"/>
          <w:sz w:val="21"/>
          <w:szCs w:val="22"/>
          <w:highlight w:val="none"/>
        </w:rPr>
      </w:pPr>
      <w:r>
        <w:rPr>
          <w:rFonts w:hint="eastAsia" w:cs="宋体"/>
          <w:color w:val="auto"/>
          <w:kern w:val="2"/>
          <w:sz w:val="21"/>
          <w:szCs w:val="22"/>
          <w:highlight w:val="none"/>
        </w:rPr>
        <w:t>1.协议的订立、效力、解释及履行均适用中华人民共和国相关法律法规。</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因本协议产生的或与本合同有关的任何争议，应首先由本合同双方友好协商解决。协商不成时，任何一方均应向招标人所在地有管辖权的人民法院提起诉讼，以诉讼方式解决。守约方因维权所产生的诉讼费、律师费、保全费、鉴定费、差旅费等全部费用由违约方承担。</w:t>
      </w:r>
    </w:p>
    <w:p>
      <w:pPr>
        <w:pStyle w:val="19"/>
        <w:spacing w:beforeAutospacing="0" w:afterAutospacing="0" w:line="360" w:lineRule="auto"/>
        <w:ind w:firstLine="480"/>
        <w:jc w:val="both"/>
        <w:outlineLvl w:val="2"/>
        <w:rPr>
          <w:rFonts w:cs="宋体"/>
          <w:color w:val="auto"/>
          <w:kern w:val="2"/>
          <w:sz w:val="21"/>
          <w:szCs w:val="22"/>
          <w:highlight w:val="none"/>
        </w:rPr>
      </w:pPr>
      <w:r>
        <w:rPr>
          <w:rFonts w:hint="eastAsia" w:cs="宋体"/>
          <w:color w:val="auto"/>
          <w:kern w:val="2"/>
          <w:sz w:val="21"/>
          <w:szCs w:val="22"/>
          <w:highlight w:val="none"/>
        </w:rPr>
        <w:t>五、附则</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1.本协议自双方加盖公司公章或合同专用章之日起生效。本协议项下保密义务的保密期限自本协议生效之日起开始，直至保密信息或资料为公众或行业所知悉之日；或乙方书面同意甲方不再履行保密义务之日，以较早发生者为准。</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2.未经双方事先书面同意，本协议不得进行任何修改、变更或补充。</w:t>
      </w: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3.如果本协议的任何条款被认定为无效、不合法或不可强制执行，该条款的无效性或不可执行性不得影响其他条款的效力。该条款应在上述范围内被视为不构成本协议的一部分，本协议其他条款的合法性、效力和可强制执行性均不受影响。</w:t>
      </w:r>
    </w:p>
    <w:p>
      <w:pPr>
        <w:pStyle w:val="19"/>
        <w:spacing w:beforeAutospacing="0" w:afterAutospacing="0" w:line="360" w:lineRule="auto"/>
        <w:ind w:firstLine="480"/>
        <w:jc w:val="both"/>
        <w:outlineLvl w:val="1"/>
        <w:rPr>
          <w:rFonts w:cs="宋体"/>
          <w:color w:val="auto"/>
          <w:kern w:val="2"/>
          <w:sz w:val="21"/>
          <w:szCs w:val="22"/>
          <w:highlight w:val="none"/>
        </w:rPr>
      </w:pPr>
      <w:r>
        <w:rPr>
          <w:rFonts w:hint="eastAsia" w:cs="宋体"/>
          <w:color w:val="auto"/>
          <w:kern w:val="2"/>
          <w:sz w:val="21"/>
          <w:szCs w:val="22"/>
          <w:highlight w:val="none"/>
        </w:rPr>
        <w:t>4.本协议一式【贰】份，双方各执【壹】份，具有同等法律效力。</w:t>
      </w:r>
    </w:p>
    <w:p>
      <w:pPr>
        <w:pStyle w:val="19"/>
        <w:spacing w:beforeAutospacing="0" w:afterAutospacing="0" w:line="360" w:lineRule="auto"/>
        <w:ind w:firstLine="420" w:firstLineChars="200"/>
        <w:jc w:val="both"/>
        <w:rPr>
          <w:rFonts w:cs="宋体"/>
          <w:color w:val="auto"/>
          <w:kern w:val="2"/>
          <w:sz w:val="21"/>
          <w:szCs w:val="22"/>
          <w:highlight w:val="none"/>
        </w:rPr>
      </w:pPr>
    </w:p>
    <w:p>
      <w:pPr>
        <w:pStyle w:val="19"/>
        <w:spacing w:beforeAutospacing="0" w:afterAutospacing="0" w:line="360" w:lineRule="auto"/>
        <w:ind w:firstLine="420" w:firstLineChars="200"/>
        <w:jc w:val="both"/>
        <w:rPr>
          <w:rFonts w:cs="宋体"/>
          <w:color w:val="auto"/>
          <w:kern w:val="2"/>
          <w:sz w:val="21"/>
          <w:szCs w:val="22"/>
          <w:highlight w:val="none"/>
        </w:rPr>
      </w:pPr>
    </w:p>
    <w:p>
      <w:pPr>
        <w:pStyle w:val="19"/>
        <w:spacing w:beforeAutospacing="0" w:afterAutospacing="0" w:line="360" w:lineRule="auto"/>
        <w:ind w:firstLine="480"/>
        <w:jc w:val="both"/>
        <w:rPr>
          <w:rFonts w:cs="宋体"/>
          <w:color w:val="auto"/>
          <w:kern w:val="2"/>
          <w:sz w:val="21"/>
          <w:szCs w:val="22"/>
          <w:highlight w:val="none"/>
        </w:rPr>
      </w:pPr>
      <w:r>
        <w:rPr>
          <w:rFonts w:hint="eastAsia" w:cs="宋体"/>
          <w:color w:val="auto"/>
          <w:kern w:val="2"/>
          <w:sz w:val="21"/>
          <w:szCs w:val="22"/>
          <w:highlight w:val="none"/>
        </w:rPr>
        <w:t xml:space="preserve">招标人（盖章）：                    竞标人（盖章）：        </w:t>
      </w:r>
    </w:p>
    <w:p>
      <w:pPr>
        <w:pStyle w:val="19"/>
        <w:spacing w:beforeAutospacing="0" w:afterAutospacing="0" w:line="360" w:lineRule="auto"/>
        <w:ind w:firstLine="480"/>
        <w:jc w:val="both"/>
        <w:rPr>
          <w:rFonts w:cs="宋体"/>
          <w:color w:val="auto"/>
          <w:kern w:val="2"/>
          <w:sz w:val="21"/>
          <w:szCs w:val="22"/>
          <w:highlight w:val="none"/>
        </w:rPr>
      </w:pPr>
    </w:p>
    <w:p>
      <w:pPr>
        <w:pStyle w:val="19"/>
        <w:spacing w:beforeAutospacing="0" w:afterAutospacing="0" w:line="360" w:lineRule="auto"/>
        <w:ind w:firstLine="480"/>
        <w:jc w:val="both"/>
        <w:rPr>
          <w:rFonts w:cs="宋体"/>
          <w:color w:val="auto"/>
          <w:kern w:val="2"/>
          <w:sz w:val="21"/>
          <w:szCs w:val="22"/>
          <w:highlight w:val="none"/>
        </w:rPr>
      </w:pPr>
    </w:p>
    <w:p>
      <w:pPr>
        <w:pStyle w:val="19"/>
        <w:spacing w:beforeAutospacing="0" w:afterAutospacing="0" w:line="360" w:lineRule="auto"/>
        <w:ind w:firstLine="630" w:firstLineChars="300"/>
        <w:jc w:val="both"/>
        <w:rPr>
          <w:rFonts w:cs="宋体"/>
          <w:color w:val="auto"/>
          <w:kern w:val="2"/>
          <w:sz w:val="21"/>
          <w:szCs w:val="22"/>
          <w:highlight w:val="none"/>
        </w:rPr>
      </w:pPr>
      <w:r>
        <w:rPr>
          <w:rFonts w:hint="eastAsia" w:cs="宋体"/>
          <w:color w:val="auto"/>
          <w:kern w:val="2"/>
          <w:sz w:val="21"/>
          <w:szCs w:val="22"/>
          <w:highlight w:val="none"/>
        </w:rPr>
        <w:t>【】年【】月【】日                【】年【】月【】日</w:t>
      </w:r>
    </w:p>
    <w:p>
      <w:pPr>
        <w:spacing w:line="288" w:lineRule="auto"/>
        <w:jc w:val="center"/>
        <w:rPr>
          <w:rFonts w:ascii="宋体" w:hAnsi="宋体" w:eastAsia="宋体" w:cs="宋体"/>
          <w:color w:val="auto"/>
          <w:highlight w:val="none"/>
        </w:rPr>
      </w:pPr>
    </w:p>
    <w:p>
      <w:pPr>
        <w:spacing w:line="288" w:lineRule="auto"/>
        <w:jc w:val="center"/>
        <w:rPr>
          <w:rFonts w:ascii="宋体" w:hAnsi="宋体" w:eastAsia="宋体" w:cs="宋体"/>
          <w:color w:val="auto"/>
          <w:highlight w:val="none"/>
        </w:rPr>
      </w:pPr>
    </w:p>
    <w:p>
      <w:pPr>
        <w:spacing w:line="288" w:lineRule="auto"/>
        <w:jc w:val="center"/>
        <w:rPr>
          <w:rFonts w:ascii="宋体" w:hAnsi="宋体" w:eastAsia="宋体" w:cs="宋体"/>
          <w:color w:val="auto"/>
          <w:highlight w:val="none"/>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hint="eastAsia" w:ascii="宋体" w:hAnsi="宋体" w:cs="宋体"/>
          <w:color w:val="auto"/>
          <w:highlight w:val="none"/>
          <w:lang w:val="en-US" w:eastAsia="zh-CN"/>
        </w:rPr>
      </w:pPr>
    </w:p>
    <w:p>
      <w:pPr>
        <w:pStyle w:val="30"/>
        <w:ind w:firstLine="0" w:firstLineChars="0"/>
        <w:outlineLvl w:val="2"/>
        <w:rPr>
          <w:rFonts w:ascii="宋体" w:hAnsi="宋体" w:cs="宋体"/>
          <w:color w:val="auto"/>
          <w:highlight w:val="none"/>
        </w:rPr>
      </w:pPr>
      <w:r>
        <w:rPr>
          <w:rFonts w:hint="eastAsia" w:ascii="宋体" w:hAnsi="宋体" w:cs="宋体"/>
          <w:color w:val="auto"/>
          <w:highlight w:val="none"/>
          <w:lang w:val="en-US" w:eastAsia="zh-CN"/>
        </w:rPr>
        <w:t>*</w:t>
      </w:r>
      <w:r>
        <w:rPr>
          <w:rFonts w:hint="eastAsia" w:ascii="宋体" w:hAnsi="宋体" w:cs="宋体"/>
          <w:color w:val="auto"/>
          <w:highlight w:val="none"/>
        </w:rPr>
        <w:t>附件8</w:t>
      </w:r>
      <w:bookmarkStart w:id="47" w:name="_Hlk115361942"/>
    </w:p>
    <w:bookmarkEnd w:id="47"/>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sz w:val="40"/>
          <w:szCs w:val="40"/>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outlineLvl w:val="0"/>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【XX】采购框架协议</w:t>
      </w:r>
    </w:p>
    <w:tbl>
      <w:tblPr>
        <w:tblStyle w:val="21"/>
        <w:tblpPr w:leftFromText="180" w:rightFromText="180" w:vertAnchor="text" w:horzAnchor="page" w:tblpX="7288" w:tblpY="268"/>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3"/>
        <w:gridCol w:w="2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trPr>
        <w:tc>
          <w:tcPr>
            <w:tcW w:w="1593" w:type="dxa"/>
          </w:tcPr>
          <w:p>
            <w:pPr>
              <w:keepNext w:val="0"/>
              <w:keepLines w:val="0"/>
              <w:pageBreakBefore w:val="0"/>
              <w:widowControl w:val="0"/>
              <w:numPr>
                <w:ilvl w:val="0"/>
                <w:numId w:val="0"/>
              </w:numPr>
              <w:tabs>
                <w:tab w:val="left" w:pos="692"/>
              </w:tabs>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买方协议编号：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卖方协议编号：</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签订时间：</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【】年【】月【】日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93"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签订地点：</w:t>
            </w:r>
          </w:p>
        </w:tc>
        <w:tc>
          <w:tcPr>
            <w:tcW w:w="2306"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18"/>
                <w:szCs w:val="18"/>
                <w:highlight w:val="none"/>
                <w:vertAlign w:val="baseline"/>
                <w:lang w:val="en-US" w:eastAsia="zh-CN"/>
              </w:rPr>
            </w:pPr>
            <w:r>
              <w:rPr>
                <w:rFonts w:hint="eastAsia" w:ascii="宋体" w:hAnsi="宋体" w:eastAsia="宋体" w:cs="宋体"/>
                <w:color w:val="auto"/>
                <w:sz w:val="18"/>
                <w:szCs w:val="18"/>
                <w:highlight w:val="none"/>
                <w:vertAlign w:val="baseline"/>
                <w:lang w:val="en-US" w:eastAsia="zh-CN"/>
              </w:rPr>
              <w:t>眉山市丹棱县</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801" w:tblpY="293"/>
        <w:tblOverlap w:val="never"/>
        <w:tblW w:w="94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0"/>
        <w:gridCol w:w="47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买方：眉山琏升光伏科技有限公司</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法定代表人：王新</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送达地址：【】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c>
          <w:tcPr>
            <w:tcW w:w="474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电子邮件：【】</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专用条款部分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鉴于，买方决定在协议约定的期间内向卖方采购【】类产品，产品信息详见本协议附件。为明确双方权利义务，确保缔约之目的，本协议双方就本协议有效期内产品采购事宜，经买卖双方充分协商达成如下一致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商品类别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双方同意：买方要求卖方所供货产品名称、规格、型号、数量、材料等以买方实际签发的书面采购订单为准。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订货方式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以采购订单等书面方式确定拟购买的产品信息。卖方若对买方采购产品信息有疑问的，应立即向买方确认。卖方收到买方采购订单后3日内未提出书面异议的视为同意买方的采购需求，需按本协议约定履行供货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第三条 商品价格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商品单价以本协议附件【】约定的价格执行，若产品价格在本协议履行过程中变化的，经双方协商一致后可进行调整。买方采购本合同约定商品以外的产品的，由卖方另行报价，最终价格按照双方协商一致的金额确定。若价格执行过程中，出现商品行情价格降低，则按照商品降低后的行情价格执行；若行情价格上涨的，则应当经过双方协商一致，变更价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价格调整的均不影响调整前已经发生的交易，调整后发生的交易按照调整后的价格执行。本协议约定的价格为含税价格，在协议履行期间，税率发生变化的，针对未结算或者未收到增值税发票的订单，根据适用新税率，协议不含税价款金额不变，税额相应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商品质量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向买方提供的各类产品质量应当符合本协议附件【】的技术和质量要求和标准。协议附件未明确的，参照相关的国家标准或行业标准或协议约定的其他标准。若前述标准及约定的具体要求不一致的，以其中对产品质量及要求最高的内容执行，甲方在签订本协议后另行书面同意的除外。所有商品，如有质量问题，卖方同意一律无条件退换货。卖方在合同履行期间应当具备合法有效的经营资质及行政许可，卖方产品应当符合国家对于相关产品质量及安全的相关规定。因卖方商品质量问题给甲方或第三方造成财产损失及人身损失的，由卖方承担赔偿责任。本合同履行期内，卖方经营资质或许可丧失的，应立即通知买方并终止合同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商品送达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1.卖方应按买方要求（采购订单及买方书面要求）将产品交付至买方指定地点，并经指定签收人到货初验并签收。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2.运输方式：按符合产品性质的方式运输。</w:t>
      </w:r>
      <w:r>
        <w:rPr>
          <w:rFonts w:hint="eastAsia" w:ascii="宋体" w:hAnsi="宋体" w:eastAsia="宋体" w:cs="宋体"/>
          <w:color w:val="auto"/>
          <w:sz w:val="24"/>
          <w:szCs w:val="24"/>
          <w:highlight w:val="none"/>
          <w:vertAlign w:val="baseline"/>
          <w:lang w:val="en-US" w:eastAsia="zh-CN"/>
        </w:rPr>
        <w:t>装卸、运输、包装等费用由卖方承担。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3.送达时限：以买方在采购订单或采购协议中要求的供货或送达时限为准。</w:t>
      </w:r>
    </w:p>
    <w:p>
      <w:pPr>
        <w:keepNext w:val="0"/>
        <w:keepLines w:val="0"/>
        <w:numPr>
          <w:ilvl w:val="0"/>
          <w:numId w:val="0"/>
        </w:numPr>
        <w:spacing w:line="360" w:lineRule="auto"/>
        <w:ind w:firstLine="480" w:firstLineChars="200"/>
        <w:jc w:val="left"/>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4.买方在收货单上签字或另外出具收货凭证仅视为对产品数量和外观的认可，不免除卖方对产品质量的保证义务。</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5.卖方运输及交付各类产品的包装、运输方式等应当符合国家关于化学品的相关规定，卖方应当采取有效的安全措施确保安全交付产品，否则由此给买方及其他第三方造成的财产损失及人身损失由卖方全额赔偿。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default"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验收及交付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验收标准：单证齐全：应有质量证明文件、合格证明、装箱单、发票和其它应具有的单证，双方封存的样品，订单及送货单等附随单据；产品数量、规格、型号、材料、技术参数等符合协议约定，质量符合本协议的约定的要求和标准及国家相关法律法规规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2.验收流程：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到货初验：在卖方将本协议约定的产品按约定交予买方后，买方负责对卖方交付产品的数量、规格等外观要素进行清点、检查，并在卖方或承运人提供的送货单上签字。卖方应当提供符合协议及附件约定的商品，否则买方有权拒绝签收产品，由此产生的一切费用及对买方造成的损失，均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（2)质量检验：产品交付买方之日起【】个工作日内进行质量检验，质量检验合格的视为卖方完成交付，质量检验有问题的，卖方应按买方要求提供换货或退货服务。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（3）本协议商品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需要</w:t>
      </w:r>
      <w:r>
        <w:rPr>
          <w:rFonts w:hint="eastAsia" w:ascii="宋体" w:hAnsi="宋体" w:eastAsia="宋体" w:cs="宋体"/>
          <w:b w:val="0"/>
          <w:bCs w:val="0"/>
          <w:color w:val="auto"/>
          <w:sz w:val="24"/>
          <w:szCs w:val="24"/>
          <w:highlight w:val="none"/>
          <w:vertAlign w:val="baseline"/>
          <w:lang w:val="en-US" w:eastAsia="zh-CN"/>
        </w:rPr>
        <w:sym w:font="Wingdings 2" w:char="00A3"/>
      </w:r>
      <w:r>
        <w:rPr>
          <w:rFonts w:hint="eastAsia" w:ascii="宋体" w:hAnsi="宋体" w:eastAsia="宋体" w:cs="宋体"/>
          <w:b w:val="0"/>
          <w:bCs w:val="0"/>
          <w:color w:val="auto"/>
          <w:sz w:val="24"/>
          <w:szCs w:val="24"/>
          <w:highlight w:val="none"/>
          <w:vertAlign w:val="baseline"/>
          <w:lang w:val="en-US" w:eastAsia="zh-CN"/>
        </w:rPr>
        <w:t>不需要试用。若需试用的产品，还需进行试用验收：在满足试用要求的条件下，根据买方时间安排，由买方人员试用【】天无质量问题的，双方共同签署该产品试用合格文件。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lang w:val="en-US" w:eastAsia="zh-CN"/>
        </w:rPr>
        <w:t>上述各个验收流程全部完成并验收合格的方为验收合格。</w:t>
      </w:r>
      <w:r>
        <w:rPr>
          <w:rFonts w:hint="eastAsia" w:ascii="宋体" w:hAnsi="宋体" w:eastAsia="宋体" w:cs="宋体"/>
          <w:b w:val="0"/>
          <w:bCs w:val="0"/>
          <w:color w:val="auto"/>
          <w:kern w:val="2"/>
          <w:sz w:val="24"/>
          <w:szCs w:val="24"/>
          <w:highlight w:val="none"/>
          <w:vertAlign w:val="baseline"/>
          <w:lang w:val="en-US" w:eastAsia="zh-CN" w:bidi="ar-SA"/>
        </w:rPr>
        <w:t>产品送达交货地点并验收合格后，产品的毁损灭失的风险转移至买方。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质保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产品质保期自产品验收合格后【】个月。质保期内，若买方提出售后需求的，不论售后方式为何，卖方均应在接到买方需求时起24小时内响应并解决问题，并按买方要求立即提供退货、换货、退款等售后服务。</w:t>
      </w:r>
    </w:p>
    <w:p>
      <w:pPr>
        <w:pStyle w:val="2"/>
        <w:spacing w:before="0" w:after="0" w:line="579" w:lineRule="auto"/>
        <w:ind w:firstLine="480" w:firstLineChars="200"/>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rPr>
        <w:t>其他质保要求：【】。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货款结算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1.结算单价及总价按以下第【1】种方式执行：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（1）协议含税单价执行，协议总价按买方最终验收合格的产品数量乘以单价结算；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79" w:leftChars="228"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2.协议总价的构成方式按以下第【1】种方式执行：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（1）协议总价已包含卖方为履行本协议所产生的全部费用，包括但不限于：产品出厂费、材料费、运费、关税、税费、包装、物流、人工等全部费用；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（2）其他：【/】。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3.对账开票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（1）发票类型：</w:t>
      </w:r>
      <w:r>
        <w:rPr>
          <w:rFonts w:hint="eastAsia" w:ascii="宋体" w:hAnsi="宋体" w:eastAsia="宋体" w:cs="宋体"/>
          <w:color w:val="auto"/>
          <w:sz w:val="24"/>
          <w:szCs w:val="24"/>
          <w:highlight w:val="none"/>
          <w:vertAlign w:val="baseline"/>
          <w:lang w:val="en-US" w:eastAsia="zh-CN"/>
        </w:rPr>
        <w:sym w:font="Wingdings 2" w:char="0052"/>
      </w:r>
      <w:r>
        <w:rPr>
          <w:rFonts w:hint="eastAsia" w:ascii="宋体" w:hAnsi="宋体" w:eastAsia="宋体" w:cs="宋体"/>
          <w:color w:val="auto"/>
          <w:sz w:val="24"/>
          <w:szCs w:val="24"/>
          <w:highlight w:val="none"/>
          <w:vertAlign w:val="baseline"/>
          <w:lang w:val="en-US" w:eastAsia="zh-CN"/>
        </w:rPr>
        <w:t>增值税专用发票</w:t>
      </w:r>
      <w:r>
        <w:rPr>
          <w:rFonts w:hint="eastAsia" w:ascii="宋体" w:hAnsi="宋体" w:eastAsia="宋体" w:cs="宋体"/>
          <w:color w:val="auto"/>
          <w:sz w:val="24"/>
          <w:szCs w:val="24"/>
          <w:highlight w:val="none"/>
          <w:vertAlign w:val="baseline"/>
          <w:lang w:val="en-US" w:eastAsia="zh-CN"/>
        </w:rPr>
        <w:sym w:font="Wingdings 2" w:char="00A3"/>
      </w:r>
      <w:r>
        <w:rPr>
          <w:rFonts w:hint="eastAsia" w:ascii="宋体" w:hAnsi="宋体" w:eastAsia="宋体" w:cs="宋体"/>
          <w:color w:val="auto"/>
          <w:sz w:val="24"/>
          <w:szCs w:val="24"/>
          <w:highlight w:val="none"/>
          <w:vertAlign w:val="baseline"/>
          <w:lang w:val="en-US" w:eastAsia="zh-CN"/>
        </w:rPr>
        <w:t>增值税普通发票，税率【】%。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（2）对账日：每月【 】日（遇节假日顺延）前，卖方应向买方提供书面对账单及相关明细，对账单应经买方认可。若买方对对账单提出异议的，卖方应于【3】日内予以回复说明并提供相关资料。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（3）开票时间：买方支付款项前提供，卖方未按协议约定提供发票的，买方付款时间顺延，且不承担任何违约责任。卖方仍应按协议及采购订单约定履行协议义务。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4.付款方式：买方按以下第【2】种方式支付货款：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（1）银行电汇；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（2）银行承兑汇票；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5.付款时间：买方应于对账完成且收到卖方开具的发票后【】周内向卖方支付协议费用。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6.卖方收款账户信息：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开户名：【】；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账号：【】。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卖方变更开户银行、账户名称和账号时，必须于结算前15日内书面通知买方，否则一切责任自行承担。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卖方责任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1.准时交货：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（1）产品应按买方要求的供货时间及指定地点交指定人签收，卖方交货前应当负责核实收货人是否为买方指定人员，否则由此产生的逾期交付、产品损失由卖方自行承担。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（2）交货方式：乙方送货，运费、装卸费、运输途中的保险费及运输过程中的一切风险由乙方承担。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2.包装标准：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（1）产品的包装标准应当符合产品长途运输的需要，包装应采取防潮、防晒、防震、防压、防水及防止其他损坏的必要保护措施。因包装问题导致产品受损、丢失的，由卖方自行承担。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（2）产品的包装物由卖方负责提供，费用由卖方承担。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3.服务保证：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在质保期内，如发现产品存在质量问题、质量缺陷，卖方应无条件及时更换并不得收取任何费用。因卖方产品质量问题给买方、买方下游合作方、买方客户等相关关联方造成损失的包括但不限于财产损失、人身损失、赔偿金、补偿金、违约金等，由卖方予以全额赔偿，赔偿金额以买方核算的财务数据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为确保准时交付，卖方应制定相应的交货保障措施。若卖方在执行保障计划的过程中，出现任何影响计划完成和产品交付的情况，如：关键产品故障、关键原材料/元器件缺料、出现质量问题等，应立即启动应急计划、采取补救措施并及时向买方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（3）就本合同履行，卖方</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是</w:t>
      </w:r>
      <w:r>
        <w:rPr>
          <w:rFonts w:hint="eastAsia" w:ascii="宋体" w:hAnsi="宋体" w:eastAsia="宋体" w:cs="宋体"/>
          <w:b w:val="0"/>
          <w:bCs w:val="0"/>
          <w:color w:val="auto"/>
          <w:kern w:val="2"/>
          <w:sz w:val="24"/>
          <w:szCs w:val="24"/>
          <w:highlight w:val="none"/>
          <w:vertAlign w:val="baseline"/>
          <w:lang w:val="en-US" w:eastAsia="zh-CN" w:bidi="ar-SA"/>
        </w:rPr>
        <w:sym w:font="Wingdings 2" w:char="00A3"/>
      </w:r>
      <w:r>
        <w:rPr>
          <w:rFonts w:hint="eastAsia" w:ascii="宋体" w:hAnsi="宋体" w:eastAsia="宋体" w:cs="宋体"/>
          <w:b w:val="0"/>
          <w:bCs w:val="0"/>
          <w:color w:val="auto"/>
          <w:kern w:val="2"/>
          <w:sz w:val="24"/>
          <w:szCs w:val="24"/>
          <w:highlight w:val="none"/>
          <w:vertAlign w:val="baseline"/>
          <w:lang w:val="en-US" w:eastAsia="zh-CN" w:bidi="ar-SA"/>
        </w:rPr>
        <w:t>否为合同标的购买相应保险。卖方负责购买保险的，按以下第【】种方式提供保险（可多选）。</w:t>
      </w:r>
      <w:bookmarkStart w:id="48" w:name="_Toc383503466"/>
      <w:bookmarkStart w:id="49" w:name="_Toc515948843"/>
      <w:bookmarkStart w:id="50" w:name="_Toc329273738"/>
      <w:bookmarkStart w:id="51" w:name="_Toc14936134"/>
      <w:bookmarkStart w:id="52" w:name="_Toc329273174"/>
      <w:bookmarkStart w:id="53" w:name="_Toc380743877"/>
      <w:bookmarkStart w:id="54" w:name="_Toc330366984"/>
      <w:bookmarkStart w:id="55" w:name="_Toc496626187"/>
      <w:bookmarkStart w:id="56" w:name="_Toc38074398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A.贸易术语项下的保险</w:t>
      </w:r>
      <w:bookmarkEnd w:id="48"/>
      <w:bookmarkEnd w:id="49"/>
      <w:bookmarkEnd w:id="50"/>
      <w:bookmarkEnd w:id="51"/>
      <w:bookmarkEnd w:id="52"/>
      <w:bookmarkEnd w:id="53"/>
      <w:bookmarkEnd w:id="54"/>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在适用的情况下，卖方应当依据相关贸易术语的约定，及双方约定的险种及保额购买相应保险。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57" w:name="_Toc329273739"/>
      <w:bookmarkStart w:id="58" w:name="_Toc515948844"/>
      <w:bookmarkStart w:id="59" w:name="_Toc383503467"/>
      <w:bookmarkStart w:id="60" w:name="_Toc380743878"/>
      <w:bookmarkStart w:id="61" w:name="_Toc496626188"/>
      <w:bookmarkStart w:id="62" w:name="_Toc330366985"/>
      <w:bookmarkStart w:id="63" w:name="_Toc329273175"/>
      <w:bookmarkStart w:id="64" w:name="_Toc14936135"/>
      <w:bookmarkStart w:id="65" w:name="_Toc380743986"/>
      <w:r>
        <w:rPr>
          <w:rFonts w:hint="eastAsia" w:ascii="宋体" w:hAnsi="宋体" w:eastAsia="宋体" w:cs="宋体"/>
          <w:b w:val="0"/>
          <w:bCs w:val="0"/>
          <w:color w:val="auto"/>
          <w:kern w:val="2"/>
          <w:sz w:val="24"/>
          <w:szCs w:val="24"/>
          <w:highlight w:val="none"/>
          <w:vertAlign w:val="baseline"/>
          <w:lang w:val="en-US" w:eastAsia="zh-CN" w:bidi="ar-SA"/>
        </w:rPr>
        <w:t>B.其他保险</w:t>
      </w:r>
      <w:bookmarkEnd w:id="57"/>
      <w:bookmarkEnd w:id="58"/>
      <w:bookmarkEnd w:id="59"/>
      <w:bookmarkEnd w:id="60"/>
      <w:bookmarkEnd w:id="61"/>
      <w:bookmarkEnd w:id="62"/>
      <w:bookmarkEnd w:id="63"/>
      <w:bookmarkEnd w:id="64"/>
      <w:bookmarkEnd w:id="6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产品责任险（或商品责任综合险）：</w:t>
      </w:r>
      <w:bookmarkStart w:id="66" w:name="OLE_LINK22"/>
      <w:r>
        <w:rPr>
          <w:rFonts w:hint="eastAsia" w:ascii="宋体" w:hAnsi="宋体" w:eastAsia="宋体" w:cs="宋体"/>
          <w:b w:val="0"/>
          <w:bCs w:val="0"/>
          <w:color w:val="auto"/>
          <w:kern w:val="2"/>
          <w:sz w:val="24"/>
          <w:szCs w:val="24"/>
          <w:highlight w:val="none"/>
          <w:vertAlign w:val="baseline"/>
          <w:lang w:val="en-US" w:eastAsia="zh-CN" w:bidi="ar-SA"/>
        </w:rPr>
        <w:t>卖方应就其提供给买方的“产品”投保“产品责任险”，覆盖因产品缺陷所导致的第三者人身伤害和财产损失而应负的赔偿责任，且：</w:t>
      </w:r>
      <w:bookmarkEnd w:id="6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 xml:space="preserve">保险限额：每次事故/年度累计限额不低于【】元人民币；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保单至少符合以下条件：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将买方及与本协议相关的买方“关联公司”列为附加被保险人，即覆盖买方因卖方“产品”而遭受第三方索赔导致的赔偿责任；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包括“交叉责任条款”，即覆盖作为附加被保险人的买方因卖方“产品”而遭到人身伤害或财产损失而对供方提起的索赔；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包含“放弃对买方及其雇员的追偿权”条款，即卖方及其保险公司放弃对买方及其雇员的追偿权；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保险期间应涵盖整个采购协议有效期，并在本采购协议终止后持续有效一年。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bookmarkStart w:id="67" w:name="_Toc380743987"/>
      <w:bookmarkStart w:id="68" w:name="_Toc380743879"/>
      <w:bookmarkStart w:id="69" w:name="_Toc383503468"/>
      <w:bookmarkStart w:id="70" w:name="_Toc14936136"/>
      <w:bookmarkStart w:id="71" w:name="_Toc496626189"/>
      <w:bookmarkStart w:id="72" w:name="_Toc515948845"/>
      <w:bookmarkStart w:id="73" w:name="_Toc330366986"/>
      <w:r>
        <w:rPr>
          <w:rFonts w:hint="eastAsia" w:ascii="宋体" w:hAnsi="宋体" w:eastAsia="宋体" w:cs="宋体"/>
          <w:b w:val="0"/>
          <w:bCs w:val="0"/>
          <w:color w:val="auto"/>
          <w:kern w:val="2"/>
          <w:sz w:val="24"/>
          <w:szCs w:val="24"/>
          <w:highlight w:val="none"/>
          <w:vertAlign w:val="baseline"/>
          <w:lang w:val="en-US" w:eastAsia="zh-CN" w:bidi="ar-SA"/>
        </w:rPr>
        <w:t>C.其他保险及要求：【】。</w:t>
      </w:r>
    </w:p>
    <w:bookmarkEnd w:id="67"/>
    <w:bookmarkEnd w:id="68"/>
    <w:bookmarkEnd w:id="69"/>
    <w:bookmarkEnd w:id="70"/>
    <w:bookmarkEnd w:id="71"/>
    <w:bookmarkEnd w:id="72"/>
    <w:bookmarkEnd w:id="7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卖方投保的应当在本协议生效后或采购订单确定后【】个工作日内向买方提供保险公司出具的有效保险证明。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第十条 买方责任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1.按照协议约定及时与卖方进行对账并按照协议约定及时支付协议价款。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2.产品送交买方时，按协议约定及时完成产品收货及验收流程。验收过程中发现质量问题的及时向卖方反馈。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3.若验收过程中双方对产品质量有异议的，买方负责委托有资质的机构进行检验，检验结果合格的费用由买方承担，不合格的由卖方承担。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kern w:val="2"/>
          <w:sz w:val="24"/>
          <w:szCs w:val="24"/>
          <w:highlight w:val="none"/>
          <w:vertAlign w:val="baseline"/>
          <w:lang w:val="en-US" w:eastAsia="zh-CN" w:bidi="ar-SA"/>
        </w:rPr>
      </w:pPr>
      <w:r>
        <w:rPr>
          <w:rFonts w:hint="eastAsia" w:ascii="宋体" w:hAnsi="宋体" w:eastAsia="宋体" w:cs="宋体"/>
          <w:b/>
          <w:bCs/>
          <w:color w:val="auto"/>
          <w:kern w:val="2"/>
          <w:sz w:val="24"/>
          <w:szCs w:val="24"/>
          <w:highlight w:val="none"/>
          <w:vertAlign w:val="baseline"/>
          <w:lang w:val="en-US" w:eastAsia="zh-CN" w:bidi="ar-SA"/>
        </w:rPr>
        <w:t>第十一条 履约保证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1.为保证协议正常履约，卖方为本项目履行提供必要的保障措施，提供履约保障措施的可采用以下第【1】种方式提供：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（1）履约保证金额为【】万元，其中缴纳了投标保证金的可直接转为履约保证金，差额部分可采用电汇方式提供，须在协议签订生效后7日内提供。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见索即付的银行保函，保额为协议总金额的【/】%，履约保函担保期限需能覆盖本协议履行期限。保函开具行需要为中国五大国有商业银行及中国大型股份制商业银行开具的保函，且保函开具前需要经买方书面确认。国有银行具体包括:中国工商银行、中国农业银行、中国银行、中国建设银行、交通银行、中国邮政储蓄银行、国家开发银行、中国进出口银行、中国农业发展银行；全国性股份制商业银行:招商银行、浦发银行、中信银行、中国光大银行、华夏银行、中国民生银行、广发银行、兴业银行、平安银行、浙商银行、渤海银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color w:val="auto"/>
          <w:highlight w:val="none"/>
          <w:lang w:val="en-US" w:eastAsia="zh-CN"/>
        </w:rPr>
      </w:pPr>
      <w:r>
        <w:rPr>
          <w:rFonts w:hint="eastAsia" w:ascii="宋体" w:hAnsi="宋体" w:eastAsia="宋体" w:cs="宋体"/>
          <w:b w:val="0"/>
          <w:bCs w:val="0"/>
          <w:color w:val="auto"/>
          <w:kern w:val="2"/>
          <w:sz w:val="24"/>
          <w:szCs w:val="24"/>
          <w:highlight w:val="none"/>
          <w:vertAlign w:val="baseline"/>
          <w:lang w:val="en-US" w:eastAsia="zh-CN" w:bidi="ar-SA"/>
        </w:rPr>
        <w:t>3.提供履约保障措施的，履约保证金/履约保函退还时间为本协议履行完毕且全部商品质保期满后30个工作日内无息退还。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1.若买方逾期向卖方支付货款的，卖方有权自逾期之日起每天按逾期未付货款总额的【0.1】‰向买方收取违约金。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若卖方未按约定时间提供商品的，每逾期一日应自逾期之日起每天按订单总额的【1】‰向买方承担违约金，逾期超过【10】日的，买方有权拒收产品并解除协议，且不承担任何违约责任。由此产生的费用及损失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卖方提供商品不符合约定的，卖方应按照买方要求采取更换、退货、退款等补救措施，否则买方有权扣除对应商品部分的款项并有权要求卖方每逾期一日，按本协议项下订单总金额的【1】%的标准承担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卖方未按协议约定履行质保义务的，每延期1日应按该笔订单总金额的5‰向买方承担违约责任，逾期超过3日的，买方有权自行或委托第三方对瑕疵产品进行处理，由此产生的费用（包括但不限于维修费、运费、差旅费、人工费、服务费、运输费等）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5.卖方所交付产品名称、品牌、型号、数量、质量以及包装不符合协议约定的，买方有权拒绝收货，买方同意卖方重新交货的，不免除卖方逾期交货的违约责任且由此产生的费用由卖方自行承担。买方不同意卖方重新交货的，卖方应向买方支付该笔订单总金额20％的违约金，并承担因此给买方造成的损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产品错发到货地点或接货人的，卖方应承担买方因此多产生的一切实际费用和逾期交货的违约金，并负责重新发货到指定地点。卖方未经买方同意，单方面改变运输路线和运输工具的，应当承担由此增加的费用及损失，如导致逾期交付/送达的，应按照本协议约定承担违约责任；如导致提前交付/送达的，应承担由此产生的所有费用及风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7.卖方出现上述以外的违约行为时，应向买方支付本协议相关采购订单总金额20％的违约金，并承担因此给买方与第三方造成的损失。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8.违约金不足以弥补守约方损失的，违约方应当予以补足。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第十三条 生效及有效期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1.本协议经双方加盖公章或合同专用章后生效，正本【】式【】份，买卖双方各执【】份，具有同等法律效力。双方均向对方保证本协议授权代表是经各自完全授权的合法代表。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2.本协议期限自生效之日起【】个月。期限届满本协议自动终止，已开始履行但尚未履行完毕的订单仍按照本协议约定履行。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3.协议有效期内，若卖方出现违约行为或买方提前15日书面通知卖方的，可以解除本协议且不承担违约责任。协议解除前已发生但未履行完毕的订单继续有效，按照本协议执行。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第十四条 其他约定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1.本协议与下列文件一起构成协议文件：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（1）中标通知书（如果有）；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（2）竞争性谈判文件及其补遗（如果有）；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（3）竞标函及其附录（如果有）；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（4）专用合同条款；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（5）通用合同条款；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（6）协议附件及技术标准和要求；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（7）图纸（如果有）；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（8）采购订单；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（9）招竞标洽谈记录表、现场澄清记录及录音文件（如果有）；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（10）其他协议文件。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vertAlign w:val="baseline"/>
          <w:lang w:val="en-US" w:eastAsia="zh-CN"/>
        </w:rPr>
        <w:t>在协议订立及履行过程中形成的与协议有关的文件均构成协议文件组成部分，具备同等法律效力。除通用条款另有约定外，若通用条款与专用条款存在不一致的约定，以专用条款为准；专用条款未约定的或约定不明的以通用条款为准。上述文件内容与通用条款、专用条款有冲突的，按照对卖方要求最高的一项内容执行，仍无法确定的，以买方最终确认的要求执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2.本协议期限内，除本协议另有约定外，双方不得随意变更本协议。本协议如有未尽事宜，须经双方协商，进行补充规定，书面补充规定与本协议具有同等效力。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通知和送达：本协议项下一方发往另一方的通知，均应发往本条款列明的下列地址，直到另一方书面通知更改该地址为止。只要按上述地址发送，则视为在下列日期送达：如是信函，则为按本协议签署页列明的地址挂号寄发或者特快专递递出后的第三个工作日视为送达；如果是专程送达，则为收件人签收之日视为送达；公告送达的，以公告在报纸上发布之日视为送达；如果为电子邮件，则为电子邮件发送之日，对协议履行及内容有实质性修改的，不得以电子邮件送达，应以签订补充协议的方式做出。但卖方向买方发出或交付的所有通知、要求或其他通讯均须在买方实际收到时被视为已经送达，且以传真方式或电子邮件向买方发出的所有通知、要求须于事后将原件（加盖公章）以当面送交或邮寄于买方的方式加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卖方通知和送达地址：【】；邮箱：【】；联系方式：【】 。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买方通知和送达地址：【】；邮箱：【】；联系方式：【】。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附件二：采购订单（以买方采购订单为准）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附件四：【】</w:t>
      </w:r>
    </w:p>
    <w:p>
      <w:pPr>
        <w:keepNext w:val="0"/>
        <w:keepLines w:val="0"/>
        <w:numPr>
          <w:ilvl w:val="0"/>
          <w:numId w:val="0"/>
        </w:numPr>
        <w:spacing w:line="360" w:lineRule="auto"/>
        <w:ind w:firstLine="480" w:firstLineChars="200"/>
        <w:jc w:val="left"/>
        <w:outlineLvl w:val="9"/>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附件五：【】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【以下无正文，系《【XX】采购框架协议》签署页】</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firstLine="480" w:firstLineChars="200"/>
        <w:jc w:val="left"/>
        <w:textAlignment w:val="auto"/>
        <w:rPr>
          <w:rFonts w:hint="eastAsia" w:ascii="宋体" w:hAnsi="宋体" w:eastAsia="宋体" w:cs="宋体"/>
          <w:color w:val="auto"/>
          <w:sz w:val="24"/>
          <w:szCs w:val="24"/>
          <w:highlight w:val="none"/>
          <w:lang w:val="en-US" w:eastAsia="zh-CN"/>
        </w:rPr>
      </w:pPr>
    </w:p>
    <w:tbl>
      <w:tblPr>
        <w:tblStyle w:val="21"/>
        <w:tblpPr w:leftFromText="180" w:rightFromText="180" w:vertAnchor="text" w:horzAnchor="page" w:tblpX="194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甲方（盖章）：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乙方（盖章）：</w:t>
            </w:r>
          </w:p>
          <w:p>
            <w:pPr>
              <w:pStyle w:val="2"/>
              <w:outlineLvl w:val="9"/>
              <w:rPr>
                <w:rFonts w:hint="eastAsia" w:ascii="宋体" w:hAnsi="宋体" w:eastAsia="宋体" w:cs="宋体"/>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c>
          <w:tcPr>
            <w:tcW w:w="4261" w:type="dxa"/>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授权代表人（签字）：</w:t>
            </w:r>
          </w:p>
        </w:tc>
      </w:tr>
    </w:tbl>
    <w:p>
      <w:pPr>
        <w:keepNext w:val="0"/>
        <w:keepLines w:val="0"/>
        <w:pageBreakBefore w:val="0"/>
        <w:widowControl/>
        <w:numPr>
          <w:ilvl w:val="-1"/>
          <w:numId w:val="0"/>
        </w:numPr>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附件一：通用条款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本附件所载《通用条款》为本采购协议（“本协议”）的重要组成部分。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卖方对本附件所载《通用条款》中各条款之含义完全知情，充分理解并知悉各条款之含义及其中所含之各项法律权利、义务及责任。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第一条 定价及交货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1.1卖方本着诚实信用与长期合作的原则合理报价，买方按照双方协商进行定价。若存在报价与合理价格严重不符的，一经查实，买方有权单方面终止本协议，并要求卖方双倍返还报价与合理价格之间的差价损失。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产品毁损、灭失的风险，在最终验收合格报告批准并且双方移交签字之前由卖方承担，且卖方应根据需要作好充分的防范工作并购买充分的保险。若卖方在负责送货到交货地点的过程中遭遇道路、交通、运输工具等意外事故或其他可能影响交货时间的意外情况，应及时与买方联系并协商确定合理延展的交货时间，并对因此造成的买方损失予以补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1.3卖方应按本协议规定的交货时间和地点及时进行交货，卖方应承担因其提前或拖延在交货地点交货而导致的产品的任何毁损责任及为买方造成的任何额外费用和损失。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每次送货时必须随货附有送货单（包括但不限于订单中规定的物料编号、品名、规格、数量、订单号等），符合买方要求的检测报告、合格证。如上述资料不准确或不齐全，买方有权拒收，并视同卖方未履行交付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第二条 产品的包装标准和包装物的供应回收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卖方必须根据产品特点对产品进行必要的包装，包装应符合相关包装储运指示标志的规定以及最新国家标准，保证满足长途运输、能承受水平受力、垂直受力、多次搬运、装卸、防潮、防震、防碎等包装要求，使产品在运输过程中不被损坏。产品的包装是否合格以买方的验收为准，如果有两次发生因包装不善导致的品质问题，卖方必须根据买方的要求更改其包装，并由卖方承担更换包装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2.2卖方交付的包装物如需要回收，包装物的回收由卖方完成。回收过程中发生的费用由卖方承担。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验收及质量保证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 卖方交付产品在任一验收环节中未能达到验收标准的，买方均有权要求卖方予以换货或维修。在买方要求期限内仍无法达到验收合格标准的，买方有权解除本协议，并要求卖方承担逾期交付或逾期安装调试的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vertAlign w:val="baseline"/>
          <w:lang w:val="en-US" w:eastAsia="zh-CN"/>
        </w:rPr>
        <w:t>3.2产品的交付并经质量验收不能视为对卖方权利或质量责任的解除。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3.3卖方保证为买方供货产品严格按照双方约定的技术条件（图纸及其他技术文件）生产，并符合双方约定的设计或技术等要求。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买方对产品组织验收，对不能通过验收的，卖方应在买方要求期限内采取更换、退货等有效措施予以处理。对于验收不合格的产品，买方有权利委托第三方机构对产品进行检测，由此而产生的相关费用由卖方承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卖方对其所提供的产品按照国家标准规定的质量保证期或买方验收标准约定的质量保证期承担质保责任。在该期间内如果该产品出现任何质量问题，买方可随时向卖方发出不合格通知，卖方需按买方要求及时进行产品退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3.6卖方在接到买方书面异议后，应在5个工作日内（另有规定或买卖双方另行商定期限者除外）作出书面回复，否则，视为默认买方提出的异议和处理意见。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若买方认为卖方产品不能达到技术要求或质量标准的，或经过整改仍然不能达到买方要求，买方有权单方面终止协议，终止协议后买方可以选择（1）保留协议产品并要求卖方退还买方已经支付但实际未履行的金额（如有），或（2）要求卖方收回协议产品并返还所有买方已支付费用，同时须承担对买方造成的所有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3.8买方根据需要可以在采取事先通知或不予通知的情况下在卖方或卖方的供应商处进行检查，这种检查包括品质保证体系及有关产品品质的各个环节。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卖方对买方所进行的监督检查中反馈的不合格项目应迅速策划改善对策，并于48小时内把事后实施情况及结果报告给买方。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3.9卖方不得在产品内设置软件有效期，软件须无使用期限限制。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3.10卖方对其所提供的产品承担权利瑕疵的担保责任，即卖方承诺对交付产品享有合法的所有权及其他权利，如果由于其提供的产品权利瑕疵给买方造成了损失，应当由卖方承担赔偿责任。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第四条 不可抗力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 “不可抗力”是指双方协议订立时不能预见、不能避免并不能克服的客观情况，包括发生严重的自然灾难（如：台风、洪水、地震、火灾和爆炸等）、战争、叛乱、动乱，瘟疫，政府临时颁布的法令、命令或政府行为（征收、征用等），以及其他社会异常事件（如罢工、骚乱等）。任何一方由于不可抗力事件而被妨碍履行其在本协议项下的任何义务，则应立即通知对方，由双方协商延长履约期限，以涵盖受不可抗力影响的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遭受不可抗力事件影响一方应在不可抗力事件发生后，在条件允许的情况下立即将所发生的不可抗力事件的情况以传真或电子邮件方式+书面方式通知另一方，并在该等事件结束后十四日内提交不可抗力事件发生地的、具有公信力的机关或权威机构出具的一份确认不可抗力事件的书面证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如果不可抗力事件持续影响达到三十天，双方应派人及时会晤并协商由不可抗力事件产生的问题（包括但不限于：迟延交货与验收或终止本协议）的解决方法。不可抗力事件持续影响达三十天，买卖双方中任何一方均有权终止本协议，提出终止本协议的一方当事人向另外一方当事人发出终止本协议的书面通知后即可终止本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第五条 违约责任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5.1卖方在协议履行过程中，被证实其产品、服务、工程等标的所使用之原料、工艺、技术等不符合本协议约定或未能达到实现本协议目的所应有之标准时，买方有权不予支付违约部分相应全部款项或要求卖方立即返还该款项，同时卖方还应当向买方支付违约部分款项两倍的违约金，并承担买方或第三方的财产损失责任和人身伤亡责任。买方进行的合理补救措施不得视为对卖方违约行为的豁免，也不得视为对协议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5.2按本协议约定卖方应该偿付的违约金、赔偿金等，应当在明确责任后十天内结算付清，否则按逾期付款处理，且买方有权从应付款项中予以扣减。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5.3如卖方单方面提出终止协议，则需赔偿由此而导致买方所遭受的误工、停产、延期交货等带来的一切损失，退还买方已经支付但未实际发生的金额（如有），并向买方赔付协议订单累计总金额的20%作为违约金。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5.4卖方在本协议签订前已经对本项目进行充分的了解，也清楚的了解到本项目的重要性及紧迫性，因卖方原因（包括不限于违约行为）致使本协议所涉项目各个环节和时间节点未能按时达成、产品存在质量问题、或验收时未发现而在使用过程中出现的问题等情况的出现都将给买方造成巨大的损失。为此，卖方在知悉前述情况下同意签订本协议并做出承诺：因卖方原因（包括不限于违约行为）所导致的买方“合理损失”，卖方承诺将全部予以赔偿，合理损失包括不限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（1）产品退、换所产生的全部费用（包括运输装卸费、人工费、包装费等）；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（2）因卖方原因，可能导致项目进度延迟或其他影响项目正常推进的情形时，买方为保证项目顺利推进而采取的其他措施所产生的费用；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（3）产品无法交付，买方自行采购相同产品的而多支付的费用；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（4）若从产品为生产材料或辅料的，卖方还应承担由此给买方造成的产能损失，产能损失以买方财务核算数据为准；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（5）因产品质量问题给买方、买方下游合作方、买方客户等相关关联方财产或人员造成的损失，包括但不限于财产损失、人身损失、维修费、医疗费、购置费、赔偿款、补偿款、违约金等；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（6）因买方维权而产生的诉讼费、鉴定费、保全费用、律师代理费、交通费等；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（7）其他的“合理损失”。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bookmarkStart w:id="74" w:name="_Hlk76999920"/>
      <w:r>
        <w:rPr>
          <w:rFonts w:hint="eastAsia" w:ascii="宋体" w:hAnsi="宋体" w:eastAsia="宋体" w:cs="宋体"/>
          <w:color w:val="auto"/>
          <w:sz w:val="24"/>
          <w:szCs w:val="24"/>
          <w:highlight w:val="none"/>
          <w:vertAlign w:val="baseline"/>
          <w:lang w:val="en-US" w:eastAsia="zh-CN"/>
        </w:rPr>
        <w:t>6若卖方对损失赔偿金额有异议的，</w:t>
      </w:r>
      <w:bookmarkEnd w:id="74"/>
      <w:r>
        <w:rPr>
          <w:rFonts w:hint="eastAsia" w:ascii="宋体" w:hAnsi="宋体" w:eastAsia="宋体" w:cs="宋体"/>
          <w:color w:val="auto"/>
          <w:sz w:val="24"/>
          <w:szCs w:val="24"/>
          <w:highlight w:val="none"/>
          <w:vertAlign w:val="baseline"/>
          <w:lang w:val="en-US" w:eastAsia="zh-CN"/>
        </w:rPr>
        <w:t>由买方指定有资质的第三方对买方损失作出鉴定，买卖双方需配合向第三方机构提供财务数据、损失清单供第三方机构确认，卖方对该机构确认结果无异议。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5.7若因卖方原因造成买方损失或因卖方违约时，买方可在书面通知卖方后，从应付款项中直接扣除。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5.8通用条款与专用条款违约责任矛盾冲突的，以较为严格条款为准。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第六条 卖方知识产权保证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6.1卖方确保，在产品交付买方前是所售产品的唯一所有权人，如因所有权瑕疵导致买方遭任何第三方索赔，一切责任均由卖方承担。所售产品在全球范围内没有侵害任何第三方的知识产权（包括但不限于专利），如产品为生产产品，则使用该产品时如果侵犯任何第三方的知识产权，视为该生产产品侵犯第三方的知识产权。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6.2如果卖方所售产品在全球范围内侵犯任何第三方知识产权，所有责任及损失均由卖方承担，由卖方向买方及使用该产品的买方关联公司承担赔偿责任。特别的，如果卖方销售给买方的产品为生产产品，并且该生产产品、侵犯任何第三方的知识产权，则卖方需要赔偿买方因此造成的产品不能继续使用的投资损失、停产损失、使用该产品生产的产品被禁止销售导致的全部直接和间接损失等。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6.3买方或者买方关联公司因使用卖方所售产品被任何第三方指控侵权时（包括但不限于诉讼、仲裁、行政调查）、将相关信息反馈给卖方后，卖方应当在15个工作日完成下列措施：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6.3.1卖方将承担获得第三方的知识产权许可的费用，以保证买方能继续正常的使用产品；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6.3.2卖方将在承担买方费用、损失的基础上，为买方更换同等功能和性能的不侵权的产品；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6.3.3卖方向买方提供相当于指控侵权金额的保证金，以保证赔偿买方可能遭遇到的损失。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6.4如卖方未能在15个工作日内提供解决方案，则买方可以自行与权利人联系，以获得相关权利许可；或者买方可自行在行政途径、司法途径中答辩或与权利人和解等。以上解决方案产生的所有费用、损失由卖方承担。就该费用和损失，买方有权在实际发生前，按照预估的金额起诉卖方并对卖方的财产采取保全，获得事先的救济和保障。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6.5卖方承诺，卖方及其关联公司，在全球范围内，现在及未来不可撤销的放弃对买方、买方关联公司、买方所销售产品（包括产品的销售商及使用方）主张任何知识产权相关的权利，无论该知识产权问题是否由买方或者买方的第三方供应商引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第七条 协议解除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卖方出现下列情况之一的，买方有权解除协议，并且卖方应当赔偿由此给买方造成的损失，并退还买方已经支付但未实际发生的金额（如有）：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7.1卖方的产品检验不合格，经返工或换货仍未能达到买方的验收标准的；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7.2卖方产品违背本通用条款知识产权保证约定的；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7.3卖方无特殊原因不能按照约定时间供货达到7日的；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7.4卖方逾期履行质保义务达到7日的；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7.5卖方从事不正当交易行为；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7.6卖方违反国际或国内的法律规定或协议约定，且（将）给买方造成损失的；</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7.7卖方丧失履行本合同所必须的经营资质或行政许可的；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7.8其他本协议约定的其他情形。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9"/>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第八条 协议解除或终止的后果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在本协议按其有关规定被解除或终止后，（1）卖方应对其在终止前按照本协议已接受或视为已接受的买方订单继续承担按时交货义务；（2）卖方对其在本协议中所作的任何承诺和保证继续有效。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第九条 陈述、保证及承诺条款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9.1卖方陈述及保证其是根据中国法律合法成立并有效存续的有限责任公司，其签署和履行本协议已经经内部所有适当授权，其签署和履行本协议不违反任何法律法规、其章程和其作为一方的任何协议。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9.2在招标、议标、签约及履约过程中，卖方或其工作人员不得以其公司或私人名义向买方工作人员直接或间接给予现金、贵重物品、有价证券等，不得采取其他变相手段使买方工作人员获得不当利益，卖方或其工作人员以其公司或私人名义与买方工作人员或其介绍的任何第三人从事和该协议类似的交易行为，均应视为侵害买方利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9.3卖方声明并保证因签订或履行本协议而提供给买方的任何信息、材料是真实、完整、正确、合法、有效的，不得提供虚假材料、伪造证章。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9.4 若卖方或其工作人员存在以上任何一行为，买方有权立即单方解除该协议，无须承担任何责任，并视同卖方已经自动放弃已执行的部分或全部协议项下权益（包含协议价款等），卖方应退还买方已经支付但未实际发生的金额（如有），并承担因此造成买方的全部损失，包括直接损失和间接损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9.6如果卖方违反本保证条款的约定，买方保留拒绝此后卖方参与买方招标的任何交易的权利。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9.7 保证条款在本协议履行期间及此后对双方皆具有约束力，其所有内容不因本协议或其某一条款的解除或终止而失效。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第十条 保密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 在本协议签订及其履行期间，协议一方当事人可能必须向另一方当事人提供涉及其商业活动、产品、服务、知识产权、技术细节及性能、公司组织管理状况等信息，该等信息应被视为协议一方当事人的保密信息（以下简称“保密信息”）；另一方当事人收到保密信息后亦应对其保密，不得将保密信息披露、透露给任何第三人或擅自公开，且不得用于履行本协议以外的其他目的；否则须承担违约赔偿责任。本保密义务于本协议终止或解除后2年内仍有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 本保密义务不受本协议其他条款无效或本协议被提前解除的影响。一旦发生泄密行为，泄密方向受损害方承担违约责任以及相应法律责任，其中违约金为本协议项下订单总额的20%。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转让和分包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10.1任何一方未取得另一方事先书面同意，不得将本协议项下的部分或全部内容转让给第三方。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10.2未经买方书面同意，卖方不得将本协议供货范围中的采购事项对外转包或分包。确需转包或分包的，应事先取得买方书面同意，并将供货商的名单提交买方确认，并从经买方书面确认的供货商名单中选定分包商。卖方擅自向未经买方书面确认的供货商分包协议货物的，买方有权拒付分包部分货物的价款，并部分或全部终止本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10.3卖方应对所有分包货物承担本协议项下的全部责任。买方对分包商的确认与否并不免除卖方根据本协议所应承担的任何责任，也不增加买方的责任。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第十一条 争议解决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  本协议的效力、解释、执行和因本协议引起的争议的解决适用中国法律。双方同意对本协议下出现的任何争议，应首先通过友好协商的方式加以解决。如果自争议发生之日起三十日内双方不能通过上述方式解决争议，则双方同意向买方所在地具有管辖权的人民法院提起诉讼。败诉方承担对方发生的所有合理的开支和费用，包括但不限于律师费，诉讼费、保全费、交通食宿、调查费、鉴定费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outlineLvl w:val="0"/>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第十二条 其他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12.1买卖双方对于与本协议履行有关的行为中涉及到的对方商业秘密和保密信息负有保密义务。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12.2协议期内，买卖双方均不得随意变更或解除协议。协议如有未尽事宜，双方应以友好协商的方式加以解决，并作出书面补充协议或规定。补充协议或规定与本协议具有同等法律效力。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附件9：技术协议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szCs w:val="24"/>
          <w:highlight w:val="none"/>
          <w:vertAlign w:val="baseli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p>
    <w:p>
      <w:pPr>
        <w:rPr>
          <w:rFonts w:hint="eastAsia"/>
          <w:color w:val="auto"/>
          <w:highlight w:val="none"/>
          <w:lang w:val="en-US" w:eastAsia="zh-CN"/>
        </w:rPr>
      </w:pPr>
      <w:r>
        <w:rPr>
          <w:rFonts w:hint="eastAsia"/>
          <w:color w:val="auto"/>
          <w:highlight w:val="none"/>
          <w:lang w:val="en-US" w:eastAsia="zh-CN"/>
        </w:rPr>
        <w:t xml:space="preserve">                                                                                                              </w:t>
      </w:r>
    </w:p>
    <w:p>
      <w:pPr>
        <w:rPr>
          <w:rFonts w:hint="default"/>
          <w:color w:val="auto"/>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snapToGrid w:val="0"/>
        <w:outlineLvl w:val="1"/>
        <w:rPr>
          <w:rFonts w:hint="eastAsia" w:ascii="宋体" w:hAnsi="宋体" w:eastAsia="宋体" w:cs="宋体"/>
          <w:b/>
          <w:bCs/>
          <w:color w:val="auto"/>
          <w:szCs w:val="21"/>
          <w:highlight w:val="none"/>
          <w:lang w:val="en-US" w:eastAsia="zh-CN"/>
        </w:rPr>
      </w:pPr>
    </w:p>
    <w:p>
      <w:pP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br w:type="page"/>
      </w:r>
    </w:p>
    <w:p>
      <w:pPr>
        <w:snapToGrid w:val="0"/>
        <w:outlineLvl w:val="1"/>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附件10：</w:t>
      </w:r>
    </w:p>
    <w:p>
      <w:pPr>
        <w:pStyle w:val="3"/>
        <w:spacing w:line="360" w:lineRule="auto"/>
        <w:jc w:val="center"/>
        <w:rPr>
          <w:rFonts w:ascii="宋体" w:hAnsi="宋体" w:cs="宋体"/>
          <w:color w:val="auto"/>
          <w:sz w:val="30"/>
          <w:szCs w:val="30"/>
          <w:highlight w:val="none"/>
        </w:rPr>
      </w:pPr>
      <w:bookmarkStart w:id="75" w:name="_Toc101567010"/>
      <w:r>
        <w:rPr>
          <w:rFonts w:hint="eastAsia" w:ascii="宋体" w:hAnsi="宋体" w:cs="宋体"/>
          <w:color w:val="auto"/>
          <w:sz w:val="30"/>
          <w:szCs w:val="30"/>
          <w:highlight w:val="none"/>
        </w:rPr>
        <w:t>诚信</w:t>
      </w:r>
      <w:r>
        <w:rPr>
          <w:rFonts w:ascii="宋体" w:hAnsi="宋体" w:cs="宋体"/>
          <w:color w:val="auto"/>
          <w:sz w:val="30"/>
          <w:szCs w:val="30"/>
          <w:highlight w:val="none"/>
        </w:rPr>
        <w:t>报价承诺书</w:t>
      </w:r>
      <w:bookmarkEnd w:id="75"/>
    </w:p>
    <w:p>
      <w:pPr>
        <w:spacing w:line="360" w:lineRule="auto"/>
        <w:rPr>
          <w:rFonts w:ascii="宋体" w:hAnsi="宋体"/>
          <w:color w:val="auto"/>
          <w:szCs w:val="30"/>
          <w:highlight w:val="none"/>
        </w:rPr>
      </w:pPr>
      <w:r>
        <w:rPr>
          <w:rFonts w:hint="eastAsia" w:ascii="宋体" w:hAnsi="宋体"/>
          <w:color w:val="auto"/>
          <w:szCs w:val="21"/>
          <w:highlight w:val="none"/>
          <w:u w:val="single"/>
        </w:rPr>
        <w:t>眉山琏升光伏科技有限公司</w:t>
      </w:r>
      <w:r>
        <w:rPr>
          <w:rFonts w:ascii="宋体" w:hAnsi="宋体"/>
          <w:color w:val="auto"/>
          <w:szCs w:val="30"/>
          <w:highlight w:val="none"/>
        </w:rPr>
        <w:t>：</w:t>
      </w:r>
    </w:p>
    <w:p>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关于</w:t>
      </w:r>
      <w:r>
        <w:rPr>
          <w:rFonts w:hint="eastAsia" w:hAnsi="宋体"/>
          <w:color w:val="auto"/>
          <w:highlight w:val="none"/>
          <w:u w:val="single"/>
        </w:rPr>
        <w:t>眉山琏升光伏科技有限公司新能源8GW高效异质结电池项目</w:t>
      </w:r>
      <w:r>
        <w:rPr>
          <w:rFonts w:hint="eastAsia" w:hAnsi="宋体"/>
          <w:color w:val="auto"/>
          <w:highlight w:val="none"/>
          <w:u w:val="single"/>
          <w:lang w:eastAsia="zh-CN"/>
        </w:rPr>
        <w:t>水处理药剂</w:t>
      </w:r>
      <w:r>
        <w:rPr>
          <w:rFonts w:hint="eastAsia" w:hAnsi="宋体"/>
          <w:color w:val="auto"/>
          <w:highlight w:val="none"/>
          <w:u w:val="single"/>
        </w:rPr>
        <w:t>项目</w:t>
      </w:r>
      <w:r>
        <w:rPr>
          <w:rFonts w:ascii="宋体" w:hAnsi="宋体"/>
          <w:color w:val="auto"/>
          <w:szCs w:val="30"/>
          <w:highlight w:val="none"/>
        </w:rPr>
        <w:t>，</w:t>
      </w:r>
      <w:r>
        <w:rPr>
          <w:rFonts w:hint="eastAsia" w:ascii="宋体" w:hAnsi="宋体"/>
          <w:color w:val="auto"/>
          <w:szCs w:val="30"/>
          <w:highlight w:val="none"/>
        </w:rPr>
        <w:t>我司在此</w:t>
      </w:r>
      <w:r>
        <w:rPr>
          <w:rFonts w:ascii="宋体" w:hAnsi="宋体"/>
          <w:color w:val="auto"/>
          <w:szCs w:val="30"/>
          <w:highlight w:val="none"/>
        </w:rPr>
        <w:t>承诺，关于该项目项下的</w:t>
      </w:r>
      <w:r>
        <w:rPr>
          <w:rFonts w:hint="eastAsia" w:ascii="宋体" w:hAnsi="宋体"/>
          <w:color w:val="auto"/>
          <w:szCs w:val="30"/>
          <w:highlight w:val="none"/>
        </w:rPr>
        <w:t>所有投标</w:t>
      </w:r>
      <w:r>
        <w:rPr>
          <w:rFonts w:ascii="宋体" w:hAnsi="宋体"/>
          <w:color w:val="auto"/>
          <w:szCs w:val="30"/>
          <w:highlight w:val="none"/>
        </w:rPr>
        <w:t>报价，均是</w:t>
      </w:r>
      <w:r>
        <w:rPr>
          <w:rFonts w:hint="eastAsia" w:ascii="宋体" w:hAnsi="宋体"/>
          <w:color w:val="auto"/>
          <w:szCs w:val="30"/>
          <w:highlight w:val="none"/>
        </w:rPr>
        <w:t>我司</w:t>
      </w:r>
      <w:r>
        <w:rPr>
          <w:rFonts w:ascii="宋体" w:hAnsi="宋体"/>
          <w:color w:val="auto"/>
          <w:szCs w:val="30"/>
          <w:highlight w:val="none"/>
        </w:rPr>
        <w:t>通过合理</w:t>
      </w:r>
      <w:r>
        <w:rPr>
          <w:rFonts w:hint="eastAsia" w:ascii="宋体" w:hAnsi="宋体"/>
          <w:color w:val="auto"/>
          <w:szCs w:val="30"/>
          <w:highlight w:val="none"/>
        </w:rPr>
        <w:t>成本</w:t>
      </w:r>
      <w:r>
        <w:rPr>
          <w:rFonts w:ascii="宋体" w:hAnsi="宋体"/>
          <w:color w:val="auto"/>
          <w:szCs w:val="30"/>
          <w:highlight w:val="none"/>
        </w:rPr>
        <w:t>测算后的</w:t>
      </w:r>
      <w:r>
        <w:rPr>
          <w:rFonts w:hint="eastAsia" w:ascii="宋体" w:hAnsi="宋体"/>
          <w:color w:val="auto"/>
          <w:szCs w:val="30"/>
          <w:highlight w:val="none"/>
        </w:rPr>
        <w:t>综合</w:t>
      </w:r>
      <w:r>
        <w:rPr>
          <w:rFonts w:ascii="宋体" w:hAnsi="宋体"/>
          <w:color w:val="auto"/>
          <w:szCs w:val="30"/>
          <w:highlight w:val="none"/>
        </w:rPr>
        <w:t>报价，</w:t>
      </w:r>
      <w:r>
        <w:rPr>
          <w:rFonts w:hint="eastAsia" w:ascii="宋体" w:hAnsi="宋体"/>
          <w:color w:val="auto"/>
          <w:szCs w:val="30"/>
          <w:highlight w:val="none"/>
        </w:rPr>
        <w:t>所有报价</w:t>
      </w:r>
      <w:r>
        <w:rPr>
          <w:rFonts w:ascii="宋体" w:hAnsi="宋体"/>
          <w:color w:val="auto"/>
          <w:szCs w:val="30"/>
          <w:highlight w:val="none"/>
        </w:rPr>
        <w:t>均</w:t>
      </w:r>
      <w:r>
        <w:rPr>
          <w:rFonts w:hint="eastAsia" w:ascii="宋体" w:hAnsi="宋体"/>
          <w:color w:val="auto"/>
          <w:szCs w:val="30"/>
          <w:highlight w:val="none"/>
        </w:rPr>
        <w:t>不属于法律</w:t>
      </w:r>
      <w:r>
        <w:rPr>
          <w:rFonts w:ascii="宋体" w:hAnsi="宋体"/>
          <w:color w:val="auto"/>
          <w:szCs w:val="30"/>
          <w:highlight w:val="none"/>
        </w:rPr>
        <w:t>规定的明显</w:t>
      </w:r>
      <w:r>
        <w:rPr>
          <w:rFonts w:hint="eastAsia" w:ascii="宋体" w:hAnsi="宋体"/>
          <w:color w:val="auto"/>
          <w:szCs w:val="30"/>
          <w:highlight w:val="none"/>
        </w:rPr>
        <w:t>不合理</w:t>
      </w:r>
      <w:r>
        <w:rPr>
          <w:rFonts w:ascii="宋体" w:hAnsi="宋体"/>
          <w:color w:val="auto"/>
          <w:szCs w:val="30"/>
          <w:highlight w:val="none"/>
        </w:rPr>
        <w:t>低价</w:t>
      </w:r>
      <w:r>
        <w:rPr>
          <w:rFonts w:hint="eastAsia" w:ascii="宋体" w:hAnsi="宋体"/>
          <w:color w:val="auto"/>
          <w:szCs w:val="30"/>
          <w:highlight w:val="none"/>
        </w:rPr>
        <w:t>或高价</w:t>
      </w:r>
      <w:r>
        <w:rPr>
          <w:rFonts w:ascii="宋体" w:hAnsi="宋体"/>
          <w:color w:val="auto"/>
          <w:szCs w:val="30"/>
          <w:highlight w:val="none"/>
        </w:rPr>
        <w:t>，如招标人</w:t>
      </w:r>
      <w:r>
        <w:rPr>
          <w:rFonts w:hint="eastAsia" w:ascii="宋体" w:hAnsi="宋体"/>
          <w:color w:val="auto"/>
          <w:szCs w:val="30"/>
          <w:highlight w:val="none"/>
        </w:rPr>
        <w:t>对</w:t>
      </w:r>
      <w:r>
        <w:rPr>
          <w:rFonts w:ascii="宋体" w:hAnsi="宋体"/>
          <w:color w:val="auto"/>
          <w:szCs w:val="30"/>
          <w:highlight w:val="none"/>
        </w:rPr>
        <w:t>我司的投标报价</w:t>
      </w:r>
      <w:r>
        <w:rPr>
          <w:rFonts w:hint="eastAsia" w:ascii="宋体" w:hAnsi="宋体"/>
          <w:color w:val="auto"/>
          <w:szCs w:val="30"/>
          <w:highlight w:val="none"/>
        </w:rPr>
        <w:t>存在</w:t>
      </w:r>
      <w:r>
        <w:rPr>
          <w:rFonts w:ascii="宋体" w:hAnsi="宋体"/>
          <w:color w:val="auto"/>
          <w:szCs w:val="30"/>
          <w:highlight w:val="none"/>
        </w:rPr>
        <w:t>疑问，我司应当给予</w:t>
      </w:r>
      <w:r>
        <w:rPr>
          <w:rFonts w:hint="eastAsia" w:ascii="宋体" w:hAnsi="宋体"/>
          <w:color w:val="auto"/>
          <w:szCs w:val="30"/>
          <w:highlight w:val="none"/>
        </w:rPr>
        <w:t>书面</w:t>
      </w:r>
      <w:r>
        <w:rPr>
          <w:rFonts w:ascii="宋体" w:hAnsi="宋体"/>
          <w:color w:val="auto"/>
          <w:szCs w:val="30"/>
          <w:highlight w:val="none"/>
        </w:rPr>
        <w:t>合理说明</w:t>
      </w:r>
      <w:r>
        <w:rPr>
          <w:rFonts w:hint="eastAsia" w:ascii="宋体" w:hAnsi="宋体"/>
          <w:color w:val="auto"/>
          <w:szCs w:val="30"/>
          <w:highlight w:val="none"/>
        </w:rPr>
        <w:t>。合理说明应当</w:t>
      </w:r>
      <w:r>
        <w:rPr>
          <w:rFonts w:ascii="宋体" w:hAnsi="宋体"/>
          <w:color w:val="auto"/>
          <w:szCs w:val="30"/>
          <w:highlight w:val="none"/>
        </w:rPr>
        <w:t>通过</w:t>
      </w:r>
      <w:r>
        <w:rPr>
          <w:rFonts w:hint="eastAsia" w:ascii="宋体" w:hAnsi="宋体"/>
          <w:color w:val="auto"/>
          <w:szCs w:val="30"/>
          <w:highlight w:val="none"/>
        </w:rPr>
        <w:t>电子邮件或纸质回函的方式做出</w:t>
      </w:r>
      <w:r>
        <w:rPr>
          <w:rFonts w:ascii="宋体" w:hAnsi="宋体"/>
          <w:color w:val="auto"/>
          <w:szCs w:val="30"/>
          <w:highlight w:val="none"/>
        </w:rPr>
        <w:t>。</w:t>
      </w:r>
      <w:r>
        <w:rPr>
          <w:rFonts w:hint="eastAsia" w:ascii="宋体" w:hAnsi="宋体"/>
          <w:color w:val="auto"/>
          <w:szCs w:val="30"/>
          <w:highlight w:val="none"/>
        </w:rPr>
        <w:t>如我司在</w:t>
      </w:r>
      <w:r>
        <w:rPr>
          <w:rFonts w:ascii="宋体" w:hAnsi="宋体"/>
          <w:color w:val="auto"/>
          <w:szCs w:val="30"/>
          <w:highlight w:val="none"/>
        </w:rPr>
        <w:t>招标人给出的合理期限内</w:t>
      </w:r>
      <w:r>
        <w:rPr>
          <w:rFonts w:hint="eastAsia" w:ascii="宋体" w:hAnsi="宋体"/>
          <w:color w:val="auto"/>
          <w:szCs w:val="30"/>
          <w:highlight w:val="none"/>
        </w:rPr>
        <w:t>不能给出书面合理说明的，招标人可以</w:t>
      </w:r>
      <w:r>
        <w:rPr>
          <w:rFonts w:ascii="宋体" w:hAnsi="宋体"/>
          <w:color w:val="auto"/>
          <w:szCs w:val="30"/>
          <w:highlight w:val="none"/>
        </w:rPr>
        <w:t>将其</w:t>
      </w:r>
      <w:r>
        <w:rPr>
          <w:rFonts w:hint="eastAsia" w:ascii="宋体" w:hAnsi="宋体"/>
          <w:color w:val="auto"/>
          <w:szCs w:val="30"/>
          <w:highlight w:val="none"/>
        </w:rPr>
        <w:t>作为无效标处理。</w:t>
      </w:r>
    </w:p>
    <w:p>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我司</w:t>
      </w:r>
      <w:r>
        <w:rPr>
          <w:rFonts w:ascii="宋体" w:hAnsi="宋体"/>
          <w:color w:val="auto"/>
          <w:szCs w:val="30"/>
          <w:highlight w:val="none"/>
        </w:rPr>
        <w:t>在此承诺，</w:t>
      </w:r>
      <w:r>
        <w:rPr>
          <w:rFonts w:hint="eastAsia" w:ascii="宋体" w:hAnsi="宋体"/>
          <w:color w:val="auto"/>
          <w:szCs w:val="30"/>
          <w:highlight w:val="none"/>
        </w:rPr>
        <w:t>如我司中标</w:t>
      </w:r>
      <w:r>
        <w:rPr>
          <w:rFonts w:ascii="宋体" w:hAnsi="宋体"/>
          <w:color w:val="auto"/>
          <w:szCs w:val="30"/>
          <w:highlight w:val="none"/>
        </w:rPr>
        <w:t>，在</w:t>
      </w:r>
      <w:r>
        <w:rPr>
          <w:rFonts w:hint="eastAsia" w:ascii="宋体" w:hAnsi="宋体"/>
          <w:color w:val="auto"/>
          <w:szCs w:val="30"/>
          <w:highlight w:val="none"/>
        </w:rPr>
        <w:t>履约</w:t>
      </w:r>
      <w:r>
        <w:rPr>
          <w:rFonts w:ascii="宋体" w:hAnsi="宋体"/>
          <w:color w:val="auto"/>
          <w:szCs w:val="30"/>
          <w:highlight w:val="none"/>
        </w:rPr>
        <w:t>过程中</w:t>
      </w:r>
      <w:r>
        <w:rPr>
          <w:rFonts w:hint="eastAsia" w:ascii="宋体" w:hAnsi="宋体"/>
          <w:color w:val="auto"/>
          <w:szCs w:val="30"/>
          <w:highlight w:val="none"/>
        </w:rPr>
        <w:t>，如</w:t>
      </w:r>
      <w:r>
        <w:rPr>
          <w:rFonts w:ascii="宋体" w:hAnsi="宋体"/>
          <w:color w:val="auto"/>
          <w:szCs w:val="30"/>
          <w:highlight w:val="none"/>
        </w:rPr>
        <w:t>因我司</w:t>
      </w:r>
      <w:r>
        <w:rPr>
          <w:rFonts w:hint="eastAsia" w:ascii="宋体" w:hAnsi="宋体"/>
          <w:color w:val="auto"/>
          <w:szCs w:val="30"/>
          <w:highlight w:val="none"/>
        </w:rPr>
        <w:t>产品</w:t>
      </w:r>
      <w:r>
        <w:rPr>
          <w:rFonts w:ascii="宋体" w:hAnsi="宋体"/>
          <w:color w:val="auto"/>
          <w:szCs w:val="30"/>
          <w:highlight w:val="none"/>
        </w:rPr>
        <w:t>（</w:t>
      </w:r>
      <w:r>
        <w:rPr>
          <w:rFonts w:hint="eastAsia" w:ascii="宋体" w:hAnsi="宋体"/>
          <w:color w:val="auto"/>
          <w:szCs w:val="30"/>
          <w:highlight w:val="none"/>
        </w:rPr>
        <w:t>工程</w:t>
      </w:r>
      <w:r>
        <w:rPr>
          <w:rFonts w:ascii="宋体" w:hAnsi="宋体"/>
          <w:color w:val="auto"/>
          <w:szCs w:val="30"/>
          <w:highlight w:val="none"/>
        </w:rPr>
        <w:t>）</w:t>
      </w:r>
      <w:r>
        <w:rPr>
          <w:rFonts w:hint="eastAsia" w:ascii="宋体" w:hAnsi="宋体"/>
          <w:color w:val="auto"/>
          <w:szCs w:val="30"/>
          <w:highlight w:val="none"/>
        </w:rPr>
        <w:t>质量不合格</w:t>
      </w:r>
      <w:r>
        <w:rPr>
          <w:rFonts w:ascii="宋体" w:hAnsi="宋体"/>
          <w:color w:val="auto"/>
          <w:szCs w:val="30"/>
          <w:highlight w:val="none"/>
        </w:rPr>
        <w:t>或不能诚信履约</w:t>
      </w:r>
      <w:r>
        <w:rPr>
          <w:rFonts w:hint="eastAsia" w:ascii="宋体" w:hAnsi="宋体"/>
          <w:color w:val="auto"/>
          <w:szCs w:val="30"/>
          <w:highlight w:val="none"/>
        </w:rPr>
        <w:t>给招标人或其他第三人造成任何损失</w:t>
      </w:r>
      <w:r>
        <w:rPr>
          <w:rFonts w:ascii="宋体" w:hAnsi="宋体"/>
          <w:color w:val="auto"/>
          <w:szCs w:val="30"/>
          <w:highlight w:val="none"/>
        </w:rPr>
        <w:t>，均由我</w:t>
      </w:r>
      <w:r>
        <w:rPr>
          <w:rFonts w:hint="eastAsia" w:ascii="宋体" w:hAnsi="宋体"/>
          <w:color w:val="auto"/>
          <w:szCs w:val="30"/>
          <w:highlight w:val="none"/>
        </w:rPr>
        <w:t>司</w:t>
      </w:r>
      <w:r>
        <w:rPr>
          <w:rFonts w:ascii="宋体" w:hAnsi="宋体"/>
          <w:color w:val="auto"/>
          <w:szCs w:val="30"/>
          <w:highlight w:val="none"/>
        </w:rPr>
        <w:t>承担。</w:t>
      </w:r>
    </w:p>
    <w:p>
      <w:pPr>
        <w:spacing w:line="360" w:lineRule="auto"/>
        <w:ind w:firstLine="420" w:firstLineChars="200"/>
        <w:rPr>
          <w:rFonts w:ascii="宋体" w:hAnsi="宋体"/>
          <w:color w:val="auto"/>
          <w:szCs w:val="30"/>
          <w:highlight w:val="none"/>
        </w:rPr>
      </w:pPr>
    </w:p>
    <w:p>
      <w:pPr>
        <w:spacing w:line="360" w:lineRule="auto"/>
        <w:ind w:firstLine="420" w:firstLineChars="200"/>
        <w:rPr>
          <w:rFonts w:ascii="宋体" w:hAnsi="宋体"/>
          <w:color w:val="auto"/>
          <w:szCs w:val="30"/>
          <w:highlight w:val="none"/>
        </w:rPr>
      </w:pPr>
    </w:p>
    <w:p>
      <w:pPr>
        <w:spacing w:line="360" w:lineRule="auto"/>
        <w:ind w:firstLine="420" w:firstLineChars="200"/>
        <w:rPr>
          <w:rFonts w:ascii="宋体" w:hAnsi="宋体"/>
          <w:color w:val="auto"/>
          <w:szCs w:val="30"/>
          <w:highlight w:val="none"/>
        </w:rPr>
      </w:pPr>
    </w:p>
    <w:p>
      <w:pPr>
        <w:spacing w:line="360" w:lineRule="auto"/>
        <w:ind w:firstLine="420" w:firstLineChars="200"/>
        <w:rPr>
          <w:rFonts w:ascii="宋体" w:hAnsi="宋体"/>
          <w:color w:val="auto"/>
          <w:szCs w:val="30"/>
          <w:highlight w:val="none"/>
        </w:rPr>
      </w:pPr>
    </w:p>
    <w:p>
      <w:pPr>
        <w:spacing w:line="360" w:lineRule="auto"/>
        <w:ind w:firstLine="420" w:firstLineChars="200"/>
        <w:rPr>
          <w:rFonts w:ascii="宋体" w:hAnsi="宋体"/>
          <w:color w:val="auto"/>
          <w:szCs w:val="30"/>
          <w:highlight w:val="none"/>
        </w:rPr>
      </w:pPr>
    </w:p>
    <w:p>
      <w:pPr>
        <w:spacing w:line="360" w:lineRule="auto"/>
        <w:ind w:firstLine="420" w:firstLineChars="200"/>
        <w:rPr>
          <w:rFonts w:ascii="宋体" w:hAnsi="宋体"/>
          <w:color w:val="auto"/>
          <w:szCs w:val="30"/>
          <w:highlight w:val="none"/>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投标人</w:t>
      </w:r>
      <w:r>
        <w:rPr>
          <w:rFonts w:ascii="宋体" w:hAnsi="宋体"/>
          <w:color w:val="auto"/>
          <w:szCs w:val="30"/>
          <w:highlight w:val="none"/>
        </w:rPr>
        <w:t>：</w:t>
      </w:r>
    </w:p>
    <w:p>
      <w:pPr>
        <w:spacing w:line="360" w:lineRule="auto"/>
        <w:ind w:firstLine="420" w:firstLineChars="200"/>
        <w:rPr>
          <w:rFonts w:hint="default" w:ascii="宋体" w:hAnsi="宋体" w:eastAsiaTheme="minorEastAsia"/>
          <w:color w:val="auto"/>
          <w:szCs w:val="30"/>
          <w:highlight w:val="none"/>
          <w:lang w:val="en-US" w:eastAsia="zh-CN"/>
        </w:rPr>
      </w:pPr>
      <w:r>
        <w:rPr>
          <w:rFonts w:hint="eastAsia" w:ascii="宋体" w:hAnsi="宋体"/>
          <w:color w:val="auto"/>
          <w:szCs w:val="30"/>
          <w:highlight w:val="none"/>
        </w:rPr>
        <w:t xml:space="preserve">                        </w:t>
      </w:r>
      <w:r>
        <w:rPr>
          <w:rFonts w:ascii="宋体" w:hAnsi="宋体"/>
          <w:color w:val="auto"/>
          <w:szCs w:val="30"/>
          <w:highlight w:val="none"/>
        </w:rPr>
        <w:t xml:space="preserve">                    </w:t>
      </w:r>
      <w:r>
        <w:rPr>
          <w:rFonts w:hint="eastAsia" w:ascii="宋体" w:hAnsi="宋体"/>
          <w:color w:val="auto"/>
          <w:szCs w:val="30"/>
          <w:highlight w:val="none"/>
        </w:rPr>
        <w:t xml:space="preserve">   日期</w:t>
      </w:r>
      <w:r>
        <w:rPr>
          <w:rFonts w:ascii="宋体" w:hAnsi="宋体"/>
          <w:color w:val="auto"/>
          <w:szCs w:val="30"/>
          <w:highlight w:val="none"/>
        </w:rPr>
        <w:t>：</w:t>
      </w:r>
      <w:r>
        <w:rPr>
          <w:rFonts w:hint="eastAsia" w:ascii="宋体" w:hAnsi="宋体"/>
          <w:color w:val="auto"/>
          <w:szCs w:val="30"/>
          <w:highlight w:val="none"/>
          <w:lang w:eastAsia="zh-CN"/>
        </w:rPr>
        <w:t>【】</w:t>
      </w:r>
      <w:r>
        <w:rPr>
          <w:rFonts w:hint="eastAsia" w:ascii="宋体" w:hAnsi="宋体"/>
          <w:color w:val="auto"/>
          <w:szCs w:val="30"/>
          <w:highlight w:val="none"/>
          <w:lang w:val="en-US" w:eastAsia="zh-CN"/>
        </w:rPr>
        <w:t>年【】月【】日</w:t>
      </w:r>
    </w:p>
    <w:p>
      <w:pPr>
        <w:snapToGrid w:val="0"/>
        <w:outlineLvl w:val="1"/>
        <w:rPr>
          <w:rFonts w:ascii="宋体" w:hAnsi="宋体" w:eastAsia="宋体" w:cs="宋体"/>
          <w:b/>
          <w:bCs/>
          <w:color w:val="auto"/>
          <w:szCs w:val="21"/>
          <w:highlight w:val="none"/>
        </w:rPr>
      </w:pPr>
    </w:p>
    <w:sectPr>
      <w:headerReference r:id="rId4" w:type="default"/>
      <w:footerReference r:id="rId5" w:type="default"/>
      <w:pgSz w:w="11906" w:h="16838"/>
      <w:pgMar w:top="993" w:right="991" w:bottom="851" w:left="1134" w:header="851" w:footer="48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思源宋体 CN Light">
    <w:altName w:val="宋体"/>
    <w:panose1 w:val="00000000000000000000"/>
    <w:charset w:val="86"/>
    <w:family w:val="roman"/>
    <w:pitch w:val="default"/>
    <w:sig w:usb0="00000000" w:usb1="00000000" w:usb2="00000016" w:usb3="00000000" w:csb0="00060107"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452502"/>
    </w:sdtPr>
    <w:sdtContent>
      <w:sdt>
        <w:sdtPr>
          <w:id w:val="-1580201084"/>
        </w:sdtPr>
        <w:sdtContent>
          <w:p>
            <w:pPr>
              <w:pStyle w:val="12"/>
              <w:ind w:right="180"/>
              <w:jc w:val="right"/>
            </w:pPr>
            <w:r>
              <w:rPr>
                <w:rFonts w:hint="eastAsia" w:ascii="幼圆" w:eastAsia="幼圆"/>
                <w:color w:val="7F7F7F" w:themeColor="background1" w:themeShade="80"/>
                <w:lang w:val="zh-CN"/>
              </w:rPr>
              <w:t xml:space="preserve">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PAGE</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r>
              <w:rPr>
                <w:rFonts w:hint="eastAsia" w:ascii="幼圆" w:eastAsia="幼圆"/>
                <w:color w:val="7F7F7F" w:themeColor="background1" w:themeShade="80"/>
                <w:lang w:val="zh-CN"/>
              </w:rPr>
              <w:t xml:space="preserve"> / </w:t>
            </w:r>
            <w:r>
              <w:rPr>
                <w:rFonts w:hint="eastAsia" w:ascii="幼圆" w:eastAsia="幼圆"/>
                <w:color w:val="7F7F7F" w:themeColor="background1" w:themeShade="80"/>
                <w:sz w:val="24"/>
                <w:szCs w:val="24"/>
              </w:rPr>
              <w:fldChar w:fldCharType="begin"/>
            </w:r>
            <w:r>
              <w:rPr>
                <w:rFonts w:hint="eastAsia" w:ascii="幼圆" w:eastAsia="幼圆"/>
                <w:color w:val="7F7F7F" w:themeColor="background1" w:themeShade="80"/>
              </w:rPr>
              <w:instrText xml:space="preserve">NUMPAGES</w:instrText>
            </w:r>
            <w:r>
              <w:rPr>
                <w:rFonts w:hint="eastAsia" w:ascii="幼圆" w:eastAsia="幼圆"/>
                <w:color w:val="7F7F7F" w:themeColor="background1" w:themeShade="80"/>
                <w:sz w:val="24"/>
                <w:szCs w:val="24"/>
              </w:rPr>
              <w:fldChar w:fldCharType="separate"/>
            </w:r>
            <w:r>
              <w:rPr>
                <w:rFonts w:hint="eastAsia" w:ascii="幼圆" w:eastAsia="幼圆"/>
                <w:color w:val="7F7F7F" w:themeColor="background1" w:themeShade="80"/>
                <w:lang w:val="zh-CN"/>
              </w:rPr>
              <w:t>2</w:t>
            </w:r>
            <w:r>
              <w:rPr>
                <w:rFonts w:hint="eastAsia" w:ascii="幼圆" w:eastAsia="幼圆"/>
                <w:color w:val="7F7F7F" w:themeColor="background1" w:themeShade="80"/>
                <w:sz w:val="24"/>
                <w:szCs w:val="24"/>
              </w:rPr>
              <w:fldChar w:fldCharType="end"/>
            </w:r>
          </w:p>
        </w:sdtContent>
      </w:sdt>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drawing>
        <wp:anchor distT="0" distB="0" distL="114300" distR="114300" simplePos="0" relativeHeight="251659264" behindDoc="1" locked="0" layoutInCell="1" allowOverlap="1">
          <wp:simplePos x="0" y="0"/>
          <wp:positionH relativeFrom="margin">
            <wp:posOffset>-946150</wp:posOffset>
          </wp:positionH>
          <wp:positionV relativeFrom="paragraph">
            <wp:posOffset>-266065</wp:posOffset>
          </wp:positionV>
          <wp:extent cx="7209155" cy="382905"/>
          <wp:effectExtent l="0" t="0" r="1270" b="7620"/>
          <wp:wrapNone/>
          <wp:docPr id="1" name="图片 7" descr="微信图片_20230309091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微信图片_20230309091534"/>
                  <pic:cNvPicPr>
                    <a:picLocks noChangeAspect="1"/>
                  </pic:cNvPicPr>
                </pic:nvPicPr>
                <pic:blipFill>
                  <a:blip r:embed="rId1"/>
                  <a:stretch>
                    <a:fillRect/>
                  </a:stretch>
                </pic:blipFill>
                <pic:spPr>
                  <a:xfrm>
                    <a:off x="0" y="0"/>
                    <a:ext cx="7209155" cy="382905"/>
                  </a:xfrm>
                  <a:prstGeom prst="rect">
                    <a:avLst/>
                  </a:prstGeom>
                  <a:noFill/>
                  <a:ln>
                    <a:noFill/>
                  </a:ln>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050155"/>
          <wp:effectExtent l="0" t="0" r="2540" b="7620"/>
          <wp:wrapNone/>
          <wp:docPr id="2" name="WordPictureWatermark17110" descr="b02d49c6d7c54eca496704ed602a2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7110" descr="b02d49c6d7c54eca496704ed602a21e"/>
                  <pic:cNvPicPr>
                    <a:picLocks noChangeAspect="1"/>
                  </pic:cNvPicPr>
                </pic:nvPicPr>
                <pic:blipFill>
                  <a:blip r:embed="rId2">
                    <a:lum bright="69998" contrast="-70001"/>
                  </a:blip>
                  <a:stretch>
                    <a:fillRect/>
                  </a:stretch>
                </pic:blipFill>
                <pic:spPr>
                  <a:xfrm>
                    <a:off x="0" y="0"/>
                    <a:ext cx="5274310" cy="50501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1003C9"/>
    <w:multiLevelType w:val="singleLevel"/>
    <w:tmpl w:val="CC1003C9"/>
    <w:lvl w:ilvl="0" w:tentative="0">
      <w:start w:val="2"/>
      <w:numFmt w:val="decimal"/>
      <w:lvlText w:val="%1."/>
      <w:lvlJc w:val="left"/>
      <w:pPr>
        <w:tabs>
          <w:tab w:val="left" w:pos="312"/>
        </w:tabs>
      </w:pPr>
    </w:lvl>
  </w:abstractNum>
  <w:abstractNum w:abstractNumId="1">
    <w:nsid w:val="D8409E9C"/>
    <w:multiLevelType w:val="singleLevel"/>
    <w:tmpl w:val="D8409E9C"/>
    <w:lvl w:ilvl="0" w:tentative="0">
      <w:start w:val="1"/>
      <w:numFmt w:val="chineseCounting"/>
      <w:suff w:val="space"/>
      <w:lvlText w:val="第%1条"/>
      <w:lvlJc w:val="left"/>
      <w:rPr>
        <w:rFonts w:hint="eastAsia"/>
      </w:rPr>
    </w:lvl>
  </w:abstractNum>
  <w:abstractNum w:abstractNumId="2">
    <w:nsid w:val="0F63CEFE"/>
    <w:multiLevelType w:val="singleLevel"/>
    <w:tmpl w:val="0F63CEFE"/>
    <w:lvl w:ilvl="0" w:tentative="0">
      <w:start w:val="1"/>
      <w:numFmt w:val="decimal"/>
      <w:lvlText w:val="%1."/>
      <w:lvlJc w:val="left"/>
      <w:pPr>
        <w:tabs>
          <w:tab w:val="left" w:pos="312"/>
        </w:tabs>
      </w:pPr>
    </w:lvl>
  </w:abstractNum>
  <w:abstractNum w:abstractNumId="3">
    <w:nsid w:val="10F9101C"/>
    <w:multiLevelType w:val="singleLevel"/>
    <w:tmpl w:val="10F9101C"/>
    <w:lvl w:ilvl="0" w:tentative="0">
      <w:start w:val="4"/>
      <w:numFmt w:val="chineseCounting"/>
      <w:suff w:val="nothing"/>
      <w:lvlText w:val="%1、"/>
      <w:lvlJc w:val="left"/>
      <w:rPr>
        <w:rFonts w:hint="eastAsia"/>
      </w:rPr>
    </w:lvl>
  </w:abstractNum>
  <w:abstractNum w:abstractNumId="4">
    <w:nsid w:val="15E6C2A0"/>
    <w:multiLevelType w:val="singleLevel"/>
    <w:tmpl w:val="15E6C2A0"/>
    <w:lvl w:ilvl="0" w:tentative="0">
      <w:start w:val="1"/>
      <w:numFmt w:val="chineseCounting"/>
      <w:suff w:val="nothing"/>
      <w:lvlText w:val="%1、"/>
      <w:lvlJc w:val="left"/>
      <w:rPr>
        <w:rFonts w:hint="eastAsia"/>
      </w:rPr>
    </w:lvl>
  </w:abstractNum>
  <w:abstractNum w:abstractNumId="5">
    <w:nsid w:val="1C360CD4"/>
    <w:multiLevelType w:val="multilevel"/>
    <w:tmpl w:val="1C360C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2250E99"/>
    <w:multiLevelType w:val="multilevel"/>
    <w:tmpl w:val="22250E9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3787AAA"/>
    <w:multiLevelType w:val="multilevel"/>
    <w:tmpl w:val="23787AAA"/>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4581484"/>
    <w:multiLevelType w:val="singleLevel"/>
    <w:tmpl w:val="44581484"/>
    <w:lvl w:ilvl="0" w:tentative="0">
      <w:start w:val="3"/>
      <w:numFmt w:val="chineseCounting"/>
      <w:suff w:val="space"/>
      <w:lvlText w:val="第%1条"/>
      <w:lvlJc w:val="left"/>
      <w:rPr>
        <w:rFonts w:hint="eastAsia"/>
      </w:rPr>
    </w:lvl>
  </w:abstractNum>
  <w:abstractNum w:abstractNumId="9">
    <w:nsid w:val="44FD4ED4"/>
    <w:multiLevelType w:val="multilevel"/>
    <w:tmpl w:val="44FD4ED4"/>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8D19EE"/>
    <w:multiLevelType w:val="multilevel"/>
    <w:tmpl w:val="488D19EE"/>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5C8C3B7E"/>
    <w:multiLevelType w:val="multilevel"/>
    <w:tmpl w:val="5C8C3B7E"/>
    <w:lvl w:ilvl="0" w:tentative="0">
      <w:start w:val="1"/>
      <w:numFmt w:val="decimal"/>
      <w:lvlText w:val="%1）"/>
      <w:lvlJc w:val="left"/>
      <w:pPr>
        <w:ind w:left="560" w:hanging="360"/>
      </w:pPr>
      <w:rPr>
        <w:rFonts w:ascii="幼圆" w:eastAsia="幼圆" w:hAnsiTheme="minorHAnsi" w:cstheme="minorBidi"/>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12">
    <w:nsid w:val="5FC14039"/>
    <w:multiLevelType w:val="multilevel"/>
    <w:tmpl w:val="5FC14039"/>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6ACC59D3"/>
    <w:multiLevelType w:val="multilevel"/>
    <w:tmpl w:val="6ACC59D3"/>
    <w:lvl w:ilvl="0" w:tentative="0">
      <w:start w:val="1"/>
      <w:numFmt w:val="japaneseCounting"/>
      <w:lvlText w:val="第%1章"/>
      <w:lvlJc w:val="left"/>
      <w:pPr>
        <w:ind w:left="960" w:hanging="9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3"/>
  </w:num>
  <w:num w:numId="2">
    <w:abstractNumId w:val="6"/>
  </w:num>
  <w:num w:numId="3">
    <w:abstractNumId w:val="5"/>
  </w:num>
  <w:num w:numId="4">
    <w:abstractNumId w:val="10"/>
  </w:num>
  <w:num w:numId="5">
    <w:abstractNumId w:val="12"/>
  </w:num>
  <w:num w:numId="6">
    <w:abstractNumId w:val="9"/>
  </w:num>
  <w:num w:numId="7">
    <w:abstractNumId w:val="11"/>
  </w:num>
  <w:num w:numId="8">
    <w:abstractNumId w:val="7"/>
  </w:num>
  <w:num w:numId="9">
    <w:abstractNumId w:val="1"/>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xMTcxMDI3MzUzOGEyOTMzODJiNjBkZDI4YjkyM2YifQ=="/>
  </w:docVars>
  <w:rsids>
    <w:rsidRoot w:val="00B26442"/>
    <w:rsid w:val="00144692"/>
    <w:rsid w:val="002C668E"/>
    <w:rsid w:val="003220D1"/>
    <w:rsid w:val="0048409D"/>
    <w:rsid w:val="00702FBE"/>
    <w:rsid w:val="007E39DA"/>
    <w:rsid w:val="0083042F"/>
    <w:rsid w:val="00A73207"/>
    <w:rsid w:val="00B26442"/>
    <w:rsid w:val="00B4420F"/>
    <w:rsid w:val="00D05FA8"/>
    <w:rsid w:val="00D13989"/>
    <w:rsid w:val="00E24D6B"/>
    <w:rsid w:val="0175057A"/>
    <w:rsid w:val="026444F8"/>
    <w:rsid w:val="03834B6E"/>
    <w:rsid w:val="078A7013"/>
    <w:rsid w:val="0A950C30"/>
    <w:rsid w:val="0C776D4D"/>
    <w:rsid w:val="0F3B69FE"/>
    <w:rsid w:val="101621DD"/>
    <w:rsid w:val="11A620B8"/>
    <w:rsid w:val="12571246"/>
    <w:rsid w:val="12A04CA7"/>
    <w:rsid w:val="1A2F5DB0"/>
    <w:rsid w:val="1CEF49DE"/>
    <w:rsid w:val="1FD74E07"/>
    <w:rsid w:val="2096129C"/>
    <w:rsid w:val="2116533B"/>
    <w:rsid w:val="218D6417"/>
    <w:rsid w:val="246E2674"/>
    <w:rsid w:val="26381486"/>
    <w:rsid w:val="2A565257"/>
    <w:rsid w:val="2EF2422B"/>
    <w:rsid w:val="308907DB"/>
    <w:rsid w:val="30AB29B7"/>
    <w:rsid w:val="33246CBD"/>
    <w:rsid w:val="366E2AEA"/>
    <w:rsid w:val="3998453A"/>
    <w:rsid w:val="3EBD02FB"/>
    <w:rsid w:val="41212D47"/>
    <w:rsid w:val="434440B1"/>
    <w:rsid w:val="455D227B"/>
    <w:rsid w:val="45D0295B"/>
    <w:rsid w:val="4AA61991"/>
    <w:rsid w:val="4F3E1BE2"/>
    <w:rsid w:val="516C5036"/>
    <w:rsid w:val="51B56AC3"/>
    <w:rsid w:val="55CA1171"/>
    <w:rsid w:val="5B4F7359"/>
    <w:rsid w:val="614A28CC"/>
    <w:rsid w:val="62C87C26"/>
    <w:rsid w:val="64BC78BA"/>
    <w:rsid w:val="68C95505"/>
    <w:rsid w:val="6E3377E6"/>
    <w:rsid w:val="736E6F7E"/>
    <w:rsid w:val="73C643DF"/>
    <w:rsid w:val="74C13107"/>
    <w:rsid w:val="79415467"/>
    <w:rsid w:val="7A041F31"/>
    <w:rsid w:val="7A5B64AE"/>
    <w:rsid w:val="7BA0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eastAsiaTheme="minorHAnsi"/>
      <w:sz w:val="18"/>
      <w:szCs w:val="18"/>
    </w:rPr>
  </w:style>
  <w:style w:type="paragraph" w:styleId="6">
    <w:name w:val="annotation text"/>
    <w:basedOn w:val="1"/>
    <w:semiHidden/>
    <w:unhideWhenUsed/>
    <w:qFormat/>
    <w:uiPriority w:val="99"/>
    <w:pPr>
      <w:jc w:val="left"/>
    </w:pPr>
  </w:style>
  <w:style w:type="paragraph" w:styleId="7">
    <w:name w:val="Body Text"/>
    <w:basedOn w:val="1"/>
    <w:link w:val="33"/>
    <w:qFormat/>
    <w:uiPriority w:val="0"/>
    <w:rPr>
      <w:rFonts w:eastAsia="楷体_GB2312"/>
      <w:sz w:val="28"/>
      <w:szCs w:val="24"/>
    </w:rPr>
  </w:style>
  <w:style w:type="paragraph" w:styleId="8">
    <w:name w:val="toc 5"/>
    <w:basedOn w:val="1"/>
    <w:next w:val="1"/>
    <w:unhideWhenUsed/>
    <w:qFormat/>
    <w:uiPriority w:val="39"/>
    <w:pPr>
      <w:ind w:left="840"/>
      <w:jc w:val="left"/>
    </w:pPr>
    <w:rPr>
      <w:rFonts w:eastAsiaTheme="minorHAnsi"/>
      <w:sz w:val="18"/>
      <w:szCs w:val="18"/>
    </w:rPr>
  </w:style>
  <w:style w:type="paragraph" w:styleId="9">
    <w:name w:val="toc 3"/>
    <w:basedOn w:val="1"/>
    <w:next w:val="1"/>
    <w:unhideWhenUsed/>
    <w:qFormat/>
    <w:uiPriority w:val="39"/>
    <w:pPr>
      <w:ind w:left="420"/>
      <w:jc w:val="left"/>
    </w:pPr>
    <w:rPr>
      <w:rFonts w:eastAsiaTheme="minorHAnsi"/>
      <w:i/>
      <w:iCs/>
      <w:sz w:val="20"/>
      <w:szCs w:val="20"/>
    </w:rPr>
  </w:style>
  <w:style w:type="paragraph" w:styleId="10">
    <w:name w:val="toc 8"/>
    <w:basedOn w:val="1"/>
    <w:next w:val="1"/>
    <w:unhideWhenUsed/>
    <w:qFormat/>
    <w:uiPriority w:val="39"/>
    <w:pPr>
      <w:ind w:left="1470"/>
      <w:jc w:val="left"/>
    </w:pPr>
    <w:rPr>
      <w:rFonts w:eastAsiaTheme="minorHAnsi"/>
      <w:sz w:val="18"/>
      <w:szCs w:val="18"/>
    </w:rPr>
  </w:style>
  <w:style w:type="paragraph" w:styleId="11">
    <w:name w:val="Date"/>
    <w:basedOn w:val="1"/>
    <w:next w:val="1"/>
    <w:link w:val="27"/>
    <w:semiHidden/>
    <w:unhideWhenUsed/>
    <w:qFormat/>
    <w:uiPriority w:val="99"/>
    <w:pPr>
      <w:ind w:left="100" w:leftChars="25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after="120"/>
      <w:jc w:val="left"/>
    </w:pPr>
    <w:rPr>
      <w:rFonts w:eastAsiaTheme="minorHAnsi"/>
      <w:b/>
      <w:bCs/>
      <w:caps/>
      <w:sz w:val="20"/>
      <w:szCs w:val="20"/>
    </w:rPr>
  </w:style>
  <w:style w:type="paragraph" w:styleId="15">
    <w:name w:val="toc 4"/>
    <w:basedOn w:val="1"/>
    <w:next w:val="1"/>
    <w:unhideWhenUsed/>
    <w:qFormat/>
    <w:uiPriority w:val="39"/>
    <w:pPr>
      <w:ind w:left="630"/>
      <w:jc w:val="left"/>
    </w:pPr>
    <w:rPr>
      <w:rFonts w:eastAsiaTheme="minorHAnsi"/>
      <w:sz w:val="18"/>
      <w:szCs w:val="18"/>
    </w:rPr>
  </w:style>
  <w:style w:type="paragraph" w:styleId="16">
    <w:name w:val="toc 6"/>
    <w:basedOn w:val="1"/>
    <w:next w:val="1"/>
    <w:unhideWhenUsed/>
    <w:qFormat/>
    <w:uiPriority w:val="39"/>
    <w:pPr>
      <w:ind w:left="1050"/>
      <w:jc w:val="left"/>
    </w:pPr>
    <w:rPr>
      <w:rFonts w:eastAsiaTheme="minorHAnsi"/>
      <w:sz w:val="18"/>
      <w:szCs w:val="18"/>
    </w:rPr>
  </w:style>
  <w:style w:type="paragraph" w:styleId="17">
    <w:name w:val="toc 2"/>
    <w:basedOn w:val="1"/>
    <w:next w:val="1"/>
    <w:unhideWhenUsed/>
    <w:qFormat/>
    <w:uiPriority w:val="39"/>
    <w:pPr>
      <w:tabs>
        <w:tab w:val="right" w:leader="dot" w:pos="9771"/>
      </w:tabs>
      <w:snapToGrid w:val="0"/>
      <w:spacing w:line="360" w:lineRule="auto"/>
      <w:ind w:left="210"/>
      <w:jc w:val="left"/>
    </w:pPr>
    <w:rPr>
      <w:rFonts w:ascii="幼圆" w:hAnsi="思源宋体 CN Light" w:eastAsia="幼圆"/>
      <w:b/>
      <w:bCs/>
      <w:smallCaps/>
      <w:color w:val="000000" w:themeColor="text1"/>
      <w:sz w:val="20"/>
      <w:szCs w:val="20"/>
      <w14:textFill>
        <w14:solidFill>
          <w14:schemeClr w14:val="tx1"/>
        </w14:solidFill>
      </w14:textFill>
    </w:rPr>
  </w:style>
  <w:style w:type="paragraph" w:styleId="18">
    <w:name w:val="toc 9"/>
    <w:basedOn w:val="1"/>
    <w:next w:val="1"/>
    <w:unhideWhenUsed/>
    <w:qFormat/>
    <w:uiPriority w:val="39"/>
    <w:pPr>
      <w:ind w:left="1680"/>
      <w:jc w:val="left"/>
    </w:pPr>
    <w:rPr>
      <w:rFonts w:eastAsiaTheme="minorHAnsi"/>
      <w:sz w:val="18"/>
      <w:szCs w:val="18"/>
    </w:rPr>
  </w:style>
  <w:style w:type="paragraph" w:styleId="19">
    <w:name w:val="Normal (Web)"/>
    <w:basedOn w:val="1"/>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unhideWhenUsed/>
    <w:qFormat/>
    <w:uiPriority w:val="99"/>
    <w:rPr>
      <w:color w:val="0563C1" w:themeColor="hyperlink"/>
      <w:u w:val="single"/>
      <w14:textFill>
        <w14:solidFill>
          <w14:schemeClr w14:val="hlink"/>
        </w14:solidFill>
      </w14:textFill>
    </w:rPr>
  </w:style>
  <w:style w:type="character" w:customStyle="1" w:styleId="24">
    <w:name w:val="页眉 字符"/>
    <w:basedOn w:val="22"/>
    <w:link w:val="13"/>
    <w:qFormat/>
    <w:uiPriority w:val="99"/>
    <w:rPr>
      <w:sz w:val="18"/>
      <w:szCs w:val="18"/>
    </w:rPr>
  </w:style>
  <w:style w:type="character" w:customStyle="1" w:styleId="25">
    <w:name w:val="页脚 字符"/>
    <w:basedOn w:val="22"/>
    <w:link w:val="12"/>
    <w:qFormat/>
    <w:uiPriority w:val="99"/>
    <w:rPr>
      <w:sz w:val="18"/>
      <w:szCs w:val="18"/>
    </w:rPr>
  </w:style>
  <w:style w:type="character" w:customStyle="1" w:styleId="26">
    <w:name w:val="标题 1 字符"/>
    <w:basedOn w:val="22"/>
    <w:link w:val="2"/>
    <w:qFormat/>
    <w:uiPriority w:val="9"/>
    <w:rPr>
      <w:b/>
      <w:bCs/>
      <w:kern w:val="44"/>
      <w:sz w:val="44"/>
      <w:szCs w:val="44"/>
    </w:rPr>
  </w:style>
  <w:style w:type="character" w:customStyle="1" w:styleId="27">
    <w:name w:val="日期 字符"/>
    <w:basedOn w:val="22"/>
    <w:link w:val="11"/>
    <w:semiHidden/>
    <w:qFormat/>
    <w:uiPriority w:val="99"/>
  </w:style>
  <w:style w:type="paragraph" w:styleId="28">
    <w:name w:val="List Paragraph"/>
    <w:basedOn w:val="1"/>
    <w:qFormat/>
    <w:uiPriority w:val="34"/>
    <w:pPr>
      <w:ind w:firstLine="420" w:firstLineChars="200"/>
    </w:pPr>
  </w:style>
  <w:style w:type="paragraph" w:customStyle="1" w:styleId="29">
    <w:name w:val="4正文"/>
    <w:link w:val="31"/>
    <w:qFormat/>
    <w:uiPriority w:val="0"/>
    <w:pPr>
      <w:spacing w:line="360" w:lineRule="auto"/>
      <w:ind w:firstLine="200" w:firstLineChars="200"/>
    </w:pPr>
    <w:rPr>
      <w:rFonts w:eastAsia="宋体" w:asciiTheme="minorHAnsi" w:hAnsiTheme="minorHAnsi" w:cstheme="minorBidi"/>
      <w:kern w:val="2"/>
      <w:sz w:val="21"/>
      <w:szCs w:val="22"/>
      <w:lang w:val="en-US" w:eastAsia="zh-CN" w:bidi="ar-SA"/>
    </w:rPr>
  </w:style>
  <w:style w:type="paragraph" w:customStyle="1" w:styleId="30">
    <w:name w:val="5小标题"/>
    <w:link w:val="32"/>
    <w:qFormat/>
    <w:uiPriority w:val="0"/>
    <w:pPr>
      <w:spacing w:line="360" w:lineRule="auto"/>
      <w:ind w:firstLine="200" w:firstLineChars="200"/>
    </w:pPr>
    <w:rPr>
      <w:rFonts w:eastAsia="宋体" w:asciiTheme="minorHAnsi" w:hAnsiTheme="minorHAnsi" w:cstheme="minorBidi"/>
      <w:b/>
      <w:kern w:val="2"/>
      <w:sz w:val="21"/>
      <w:szCs w:val="22"/>
      <w:lang w:val="en-US" w:eastAsia="zh-CN" w:bidi="ar-SA"/>
    </w:rPr>
  </w:style>
  <w:style w:type="character" w:customStyle="1" w:styleId="31">
    <w:name w:val="4正文 Char"/>
    <w:basedOn w:val="22"/>
    <w:link w:val="29"/>
    <w:qFormat/>
    <w:uiPriority w:val="0"/>
    <w:rPr>
      <w:rFonts w:eastAsia="宋体"/>
    </w:rPr>
  </w:style>
  <w:style w:type="character" w:customStyle="1" w:styleId="32">
    <w:name w:val="5小标题 Char"/>
    <w:basedOn w:val="22"/>
    <w:link w:val="30"/>
    <w:qFormat/>
    <w:uiPriority w:val="0"/>
    <w:rPr>
      <w:rFonts w:eastAsia="宋体"/>
      <w:b/>
    </w:rPr>
  </w:style>
  <w:style w:type="character" w:customStyle="1" w:styleId="33">
    <w:name w:val="正文文本 字符"/>
    <w:link w:val="7"/>
    <w:qFormat/>
    <w:uiPriority w:val="0"/>
    <w:rPr>
      <w:rFonts w:eastAsia="楷体_GB2312"/>
      <w:sz w:val="28"/>
      <w:szCs w:val="24"/>
    </w:rPr>
  </w:style>
  <w:style w:type="character" w:customStyle="1" w:styleId="34">
    <w:name w:val="正文文本 字符1"/>
    <w:basedOn w:val="22"/>
    <w:semiHidden/>
    <w:qFormat/>
    <w:uiPriority w:val="99"/>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未处理的提及1"/>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24167</Words>
  <Characters>24837</Characters>
  <Lines>203</Lines>
  <Paragraphs>57</Paragraphs>
  <TotalTime>18</TotalTime>
  <ScaleCrop>false</ScaleCrop>
  <LinksUpToDate>false</LinksUpToDate>
  <CharactersWithSpaces>25540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2022-10-26T04:58:00Z</dcterms:created>
  <dc:creator>TW</dc:creator>
  <cp:lastModifiedBy>QW</cp:lastModifiedBy>
  <cp:lastPrinted>2023-08-04T05:08:00Z</cp:lastPrinted>
  <dcterms:modified xsi:type="dcterms:W3CDTF">2024-07-19T01:21:05Z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732C198CA85E49A7B1103E338177E56E_13</vt:lpwstr>
  </property>
</Properties>
</file>